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834BD">
      <w:pPr>
        <w:spacing w:before="312" w:beforeLines="100" w:after="468" w:afterLines="150" w:line="500" w:lineRule="exact"/>
        <w:jc w:val="center"/>
        <w:rPr>
          <w:rFonts w:hint="eastAsia" w:ascii="方正小标宋简体" w:hAnsi="方正小标宋简体" w:eastAsia="方正小标宋简体" w:cs="方正小标宋简体"/>
          <w:b/>
          <w:sz w:val="44"/>
          <w:szCs w:val="24"/>
        </w:rPr>
      </w:pPr>
      <w:r>
        <w:rPr>
          <w:rFonts w:hint="eastAsia" w:ascii="方正小标宋简体" w:hAnsi="方正小标宋简体" w:eastAsia="方正小标宋简体" w:cs="方正小标宋简体"/>
          <w:b/>
          <w:sz w:val="44"/>
          <w:szCs w:val="24"/>
        </w:rPr>
        <w:t>附件</w:t>
      </w:r>
      <w:r>
        <w:rPr>
          <w:rFonts w:hint="eastAsia" w:ascii="方正小标宋简体" w:hAnsi="方正小标宋简体" w:eastAsia="方正小标宋简体" w:cs="方正小标宋简体"/>
          <w:b/>
          <w:sz w:val="44"/>
          <w:szCs w:val="24"/>
          <w:lang w:val="en-US" w:eastAsia="zh-CN"/>
        </w:rPr>
        <w:t>2</w:t>
      </w:r>
      <w:r>
        <w:rPr>
          <w:rFonts w:hint="eastAsia" w:ascii="方正小标宋简体" w:hAnsi="方正小标宋简体" w:eastAsia="方正小标宋简体" w:cs="方正小标宋简体"/>
          <w:b/>
          <w:sz w:val="44"/>
          <w:szCs w:val="24"/>
        </w:rPr>
        <w:t>：</w:t>
      </w:r>
      <w:r>
        <w:rPr>
          <w:rFonts w:hint="eastAsia" w:ascii="方正小标宋简体" w:hAnsi="方正小标宋简体" w:eastAsia="方正小标宋简体" w:cs="方正小标宋简体"/>
          <w:b/>
          <w:sz w:val="44"/>
          <w:szCs w:val="24"/>
          <w:lang w:val="en-US" w:eastAsia="zh-CN"/>
        </w:rPr>
        <w:t>二级单位</w:t>
      </w:r>
      <w:r>
        <w:rPr>
          <w:rFonts w:hint="eastAsia" w:ascii="方正小标宋简体" w:hAnsi="方正小标宋简体" w:eastAsia="方正小标宋简体" w:cs="方正小标宋简体"/>
          <w:b/>
          <w:sz w:val="44"/>
          <w:szCs w:val="24"/>
        </w:rPr>
        <w:t>教育教学能力测试组织办法</w:t>
      </w:r>
    </w:p>
    <w:sdt>
      <w:sdtPr>
        <w:rPr>
          <w:rFonts w:ascii="Times New Roman" w:hAnsi="Times New Roman" w:cs="Times New Roman" w:eastAsiaTheme="minorEastAsia"/>
          <w:color w:val="auto"/>
          <w:kern w:val="2"/>
          <w:sz w:val="21"/>
          <w:szCs w:val="22"/>
          <w:lang w:val="zh-CN"/>
        </w:rPr>
        <w:id w:val="-1533261493"/>
        <w:docPartObj>
          <w:docPartGallery w:val="Table of Contents"/>
          <w:docPartUnique/>
        </w:docPartObj>
      </w:sdtPr>
      <w:sdtEndPr>
        <w:rPr>
          <w:rFonts w:ascii="Times New Roman" w:hAnsi="Times New Roman" w:cs="Times New Roman" w:eastAsiaTheme="minorEastAsia"/>
          <w:b/>
          <w:bCs/>
          <w:color w:val="auto"/>
          <w:kern w:val="2"/>
          <w:sz w:val="21"/>
          <w:szCs w:val="22"/>
          <w:lang w:val="zh-CN"/>
        </w:rPr>
      </w:sdtEndPr>
      <w:sdtContent>
        <w:p w14:paraId="248A42C5">
          <w:pPr>
            <w:pStyle w:val="21"/>
            <w:spacing w:before="468" w:beforeLines="150" w:after="468" w:afterLines="150" w:line="240" w:lineRule="auto"/>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zh-CN"/>
            </w:rPr>
            <w:t>目录</w:t>
          </w:r>
        </w:p>
        <w:p w14:paraId="407E44E7">
          <w:pPr>
            <w:pStyle w:val="7"/>
            <w:tabs>
              <w:tab w:val="right" w:leader="dot" w:pos="8845"/>
            </w:tabs>
            <w:spacing w:after="157" w:afterLine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TOC \o "1-1" \h \z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_Toc7790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高校教师资格认定申请人教育教学能力测试组织办法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_Toc7790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7F9B9B7">
          <w:pPr>
            <w:pStyle w:val="7"/>
            <w:tabs>
              <w:tab w:val="right" w:leader="dot" w:pos="8845"/>
            </w:tabs>
            <w:spacing w:after="157" w:afterLine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_Toc3657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北京师范大学高等学校教师资格教育教学能力测试专家审查委员会专业评议组评议结果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二级单位填写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_Toc3657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AA4FF8C">
          <w:pPr>
            <w:pStyle w:val="7"/>
            <w:tabs>
              <w:tab w:val="right" w:leader="dot" w:pos="8845"/>
            </w:tabs>
            <w:spacing w:after="157" w:afterLine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_Toc11827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教育教学能力测试《教学方案》（参考模板）</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_Toc11827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00BE812">
          <w:pPr>
            <w:pStyle w:val="7"/>
            <w:tabs>
              <w:tab w:val="right" w:leader="dot" w:pos="8845"/>
            </w:tabs>
            <w:spacing w:after="157" w:afterLine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_Toc3894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rPr>
            <w:t>北京市教师资格教育教学能力测试标准及办法（节选）</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_Toc3894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7303510">
          <w:pPr>
            <w:spacing w:before="468" w:beforeLines="150" w:after="468" w:afterLines="150"/>
            <w:rPr>
              <w:rFonts w:ascii="Times New Roman" w:hAnsi="Times New Roman" w:cs="Times New Roman"/>
            </w:rPr>
          </w:pPr>
          <w:r>
            <w:rPr>
              <w:rFonts w:hint="eastAsia" w:ascii="仿宋_GB2312" w:hAnsi="仿宋_GB2312" w:eastAsia="仿宋_GB2312" w:cs="仿宋_GB2312"/>
              <w:sz w:val="32"/>
              <w:szCs w:val="32"/>
            </w:rPr>
            <w:fldChar w:fldCharType="end"/>
          </w:r>
        </w:p>
      </w:sdtContent>
    </w:sdt>
    <w:p w14:paraId="16370806">
      <w:pPr>
        <w:spacing w:before="312" w:beforeLines="100" w:after="468" w:afterLines="150" w:line="500" w:lineRule="exact"/>
        <w:jc w:val="center"/>
        <w:rPr>
          <w:rFonts w:ascii="Times New Roman" w:hAnsi="Times New Roman" w:eastAsia="宋体" w:cs="Times New Roman"/>
          <w:b/>
          <w:sz w:val="36"/>
          <w:szCs w:val="21"/>
        </w:rPr>
        <w:sectPr>
          <w:pgSz w:w="11906" w:h="16838"/>
          <w:pgMar w:top="1474" w:right="1474" w:bottom="1474" w:left="1587" w:header="851" w:footer="992" w:gutter="0"/>
          <w:cols w:space="425" w:num="1"/>
          <w:docGrid w:type="lines" w:linePitch="312" w:charSpace="0"/>
        </w:sectPr>
      </w:pPr>
    </w:p>
    <w:p w14:paraId="0B78F02E">
      <w:pPr>
        <w:pStyle w:val="2"/>
        <w:spacing w:before="313" w:beforeLines="100" w:after="313" w:afterLines="100" w:line="240" w:lineRule="auto"/>
        <w:jc w:val="center"/>
        <w:rPr>
          <w:rFonts w:hint="eastAsia" w:ascii="黑体" w:hAnsi="黑体" w:eastAsia="黑体" w:cs="黑体"/>
          <w:b w:val="0"/>
          <w:sz w:val="36"/>
          <w:szCs w:val="21"/>
        </w:rPr>
      </w:pPr>
      <w:bookmarkStart w:id="0" w:name="_Toc177025205"/>
      <w:bookmarkStart w:id="1" w:name="_Toc7790"/>
      <w:r>
        <w:rPr>
          <w:rFonts w:hint="eastAsia" w:ascii="黑体" w:hAnsi="黑体" w:eastAsia="黑体" w:cs="黑体"/>
          <w:sz w:val="36"/>
          <w:szCs w:val="21"/>
        </w:rPr>
        <w:t>高校教师资格认定申请人教育教学能力测试组织办法</w:t>
      </w:r>
      <w:bookmarkEnd w:id="0"/>
      <w:bookmarkEnd w:id="1"/>
    </w:p>
    <w:p w14:paraId="39A2C33E">
      <w:pPr>
        <w:spacing w:after="156" w:afterLines="50" w:line="500" w:lineRule="exact"/>
        <w:ind w:firstLine="640" w:firstLineChars="200"/>
        <w:rPr>
          <w:rFonts w:hint="default" w:ascii="Times New Roman" w:hAnsi="Times New Roman" w:eastAsia="仿宋_GB2312" w:cs="Times New Roman"/>
          <w:sz w:val="32"/>
          <w:szCs w:val="22"/>
        </w:rPr>
      </w:pPr>
      <w:r>
        <w:rPr>
          <w:rFonts w:hint="default" w:ascii="Times New Roman" w:hAnsi="Times New Roman" w:eastAsia="仿宋_GB2312" w:cs="Times New Roman"/>
          <w:sz w:val="32"/>
          <w:szCs w:val="22"/>
        </w:rPr>
        <w:t>一、申请认定高等学校教师资格人员，若为副教授以下职称</w:t>
      </w:r>
      <w:r>
        <w:rPr>
          <w:rFonts w:hint="default" w:ascii="Times New Roman" w:hAnsi="Times New Roman" w:eastAsia="仿宋_GB2312" w:cs="Times New Roman"/>
          <w:b/>
          <w:bCs/>
          <w:sz w:val="32"/>
          <w:szCs w:val="22"/>
        </w:rPr>
        <w:t>且</w:t>
      </w:r>
      <w:r>
        <w:rPr>
          <w:rFonts w:hint="default" w:ascii="Times New Roman" w:hAnsi="Times New Roman" w:eastAsia="仿宋_GB2312" w:cs="Times New Roman"/>
          <w:sz w:val="32"/>
          <w:szCs w:val="22"/>
        </w:rPr>
        <w:t>不具有博士学位，则须通过教育教学能力测试，方可申请认定高等学校教师资格。</w:t>
      </w:r>
    </w:p>
    <w:p w14:paraId="34696270">
      <w:pPr>
        <w:spacing w:after="156" w:afterLines="50" w:line="500" w:lineRule="exact"/>
        <w:ind w:firstLine="640" w:firstLineChars="200"/>
        <w:rPr>
          <w:rFonts w:hint="eastAsia" w:ascii="Times New Roman" w:hAnsi="Times New Roman" w:eastAsia="仿宋_GB2312" w:cs="Times New Roman"/>
          <w:kern w:val="0"/>
          <w:sz w:val="32"/>
          <w:szCs w:val="22"/>
          <w:lang w:eastAsia="zh-CN"/>
        </w:rPr>
      </w:pPr>
      <w:r>
        <w:rPr>
          <w:rFonts w:hint="default" w:ascii="Times New Roman" w:hAnsi="Times New Roman" w:eastAsia="仿宋_GB2312" w:cs="Times New Roman"/>
          <w:sz w:val="32"/>
          <w:szCs w:val="22"/>
        </w:rPr>
        <w:t>二、二级单位需</w:t>
      </w:r>
      <w:r>
        <w:rPr>
          <w:rFonts w:hint="default" w:ascii="Times New Roman" w:hAnsi="Times New Roman" w:eastAsia="仿宋_GB2312" w:cs="Times New Roman"/>
          <w:kern w:val="0"/>
          <w:sz w:val="32"/>
          <w:szCs w:val="22"/>
        </w:rPr>
        <w:t>成立学科（专业）评议组</w:t>
      </w:r>
      <w:r>
        <w:rPr>
          <w:rFonts w:hint="eastAsia" w:ascii="Times New Roman" w:hAnsi="Times New Roman" w:eastAsia="仿宋_GB2312" w:cs="Times New Roman"/>
          <w:kern w:val="0"/>
          <w:sz w:val="32"/>
          <w:szCs w:val="22"/>
          <w:lang w:eastAsia="zh-CN"/>
        </w:rPr>
        <w:t>。评议组主要通过面试、试讲、答辩等方式，对申请人的教育教学基本素质和能力进行考察，</w:t>
      </w:r>
      <w:r>
        <w:rPr>
          <w:rFonts w:hint="eastAsia" w:ascii="Times New Roman" w:hAnsi="Times New Roman" w:eastAsia="仿宋_GB2312" w:cs="Times New Roman"/>
          <w:kern w:val="0"/>
          <w:sz w:val="32"/>
          <w:szCs w:val="22"/>
          <w:lang w:val="en-US" w:eastAsia="zh-CN"/>
        </w:rPr>
        <w:t>并提出评议意见</w:t>
      </w:r>
      <w:r>
        <w:rPr>
          <w:rFonts w:hint="eastAsia" w:ascii="Times New Roman" w:hAnsi="Times New Roman" w:eastAsia="仿宋_GB2312" w:cs="Times New Roman"/>
          <w:kern w:val="0"/>
          <w:sz w:val="32"/>
          <w:szCs w:val="22"/>
          <w:lang w:eastAsia="zh-CN"/>
        </w:rPr>
        <w:t>。</w:t>
      </w:r>
    </w:p>
    <w:p w14:paraId="34CBD488">
      <w:pPr>
        <w:spacing w:after="156" w:afterLines="50" w:line="500" w:lineRule="exact"/>
        <w:ind w:firstLine="640" w:firstLineChars="200"/>
        <w:rPr>
          <w:rFonts w:hint="eastAsia" w:ascii="Times New Roman" w:hAnsi="Times New Roman" w:eastAsia="仿宋_GB2312" w:cs="Times New Roman"/>
          <w:kern w:val="0"/>
          <w:sz w:val="32"/>
          <w:szCs w:val="22"/>
          <w:lang w:eastAsia="zh-CN"/>
        </w:rPr>
      </w:pPr>
      <w:r>
        <w:rPr>
          <w:rFonts w:hint="eastAsia" w:ascii="Times New Roman" w:hAnsi="Times New Roman" w:eastAsia="仿宋_GB2312" w:cs="Times New Roman"/>
          <w:kern w:val="0"/>
          <w:sz w:val="32"/>
          <w:szCs w:val="22"/>
          <w:lang w:eastAsia="zh-CN"/>
        </w:rPr>
        <w:t>评议组由三至五人组成，设组长一人。</w:t>
      </w:r>
      <w:r>
        <w:rPr>
          <w:rFonts w:hint="default" w:ascii="Times New Roman" w:hAnsi="Times New Roman" w:eastAsia="仿宋_GB2312" w:cs="Times New Roman"/>
          <w:kern w:val="0"/>
          <w:sz w:val="32"/>
          <w:szCs w:val="22"/>
        </w:rPr>
        <w:t>组长建议由单位主管教学工作负责人或教学指导委员会主任担任，组员需具有高级职称。</w:t>
      </w:r>
      <w:r>
        <w:rPr>
          <w:rFonts w:hint="eastAsia" w:ascii="Times New Roman" w:hAnsi="Times New Roman" w:eastAsia="仿宋_GB2312" w:cs="Times New Roman"/>
          <w:kern w:val="0"/>
          <w:sz w:val="32"/>
          <w:szCs w:val="22"/>
          <w:lang w:val="en-US" w:eastAsia="zh-CN"/>
        </w:rPr>
        <w:t>评议组对申请人的</w:t>
      </w:r>
      <w:r>
        <w:rPr>
          <w:rFonts w:hint="eastAsia" w:ascii="Times New Roman" w:hAnsi="Times New Roman" w:eastAsia="仿宋_GB2312" w:cs="Times New Roman"/>
          <w:kern w:val="0"/>
          <w:sz w:val="32"/>
          <w:szCs w:val="22"/>
          <w:lang w:eastAsia="zh-CN"/>
        </w:rPr>
        <w:t>考察结果，必须经评议组无记名投票表决并达到全体成员半数以上同意后，方可提交</w:t>
      </w:r>
      <w:r>
        <w:rPr>
          <w:rFonts w:hint="eastAsia" w:ascii="Times New Roman" w:hAnsi="Times New Roman" w:eastAsia="仿宋_GB2312" w:cs="Times New Roman"/>
          <w:kern w:val="0"/>
          <w:sz w:val="32"/>
          <w:szCs w:val="22"/>
          <w:lang w:val="en-US" w:eastAsia="zh-CN"/>
        </w:rPr>
        <w:t>至学校</w:t>
      </w:r>
      <w:r>
        <w:rPr>
          <w:rFonts w:hint="eastAsia" w:ascii="Times New Roman" w:hAnsi="Times New Roman" w:eastAsia="仿宋_GB2312" w:cs="Times New Roman"/>
          <w:kern w:val="0"/>
          <w:sz w:val="32"/>
          <w:szCs w:val="22"/>
          <w:lang w:eastAsia="zh-CN"/>
        </w:rPr>
        <w:t>。</w:t>
      </w:r>
    </w:p>
    <w:p w14:paraId="08A3F729">
      <w:pPr>
        <w:spacing w:after="156" w:afterLines="50" w:line="500" w:lineRule="exact"/>
        <w:ind w:firstLine="640" w:firstLineChars="200"/>
        <w:rPr>
          <w:rFonts w:hint="default" w:ascii="Times New Roman" w:hAnsi="Times New Roman" w:eastAsia="仿宋_GB2312" w:cs="Times New Roman"/>
          <w:kern w:val="0"/>
          <w:sz w:val="32"/>
          <w:szCs w:val="22"/>
        </w:rPr>
      </w:pPr>
      <w:r>
        <w:rPr>
          <w:rFonts w:hint="eastAsia" w:ascii="Times New Roman" w:hAnsi="Times New Roman" w:eastAsia="仿宋_GB2312" w:cs="Times New Roman"/>
          <w:kern w:val="0"/>
          <w:sz w:val="32"/>
          <w:szCs w:val="22"/>
          <w:lang w:val="en-US" w:eastAsia="zh-CN"/>
        </w:rPr>
        <w:t>三</w:t>
      </w:r>
      <w:r>
        <w:rPr>
          <w:rFonts w:hint="default" w:ascii="Times New Roman" w:hAnsi="Times New Roman" w:eastAsia="仿宋_GB2312" w:cs="Times New Roman"/>
          <w:kern w:val="0"/>
          <w:sz w:val="32"/>
          <w:szCs w:val="22"/>
        </w:rPr>
        <w:t>、教育教学能力测试标准可参见《北京市教师资格教育教学能力测试标准及办法（节选）》。</w:t>
      </w:r>
    </w:p>
    <w:p w14:paraId="5EACFD3F">
      <w:pPr>
        <w:spacing w:after="156" w:afterLines="50" w:line="500" w:lineRule="exact"/>
        <w:ind w:firstLine="640" w:firstLineChars="200"/>
        <w:rPr>
          <w:rFonts w:hint="default" w:ascii="Times New Roman" w:hAnsi="Times New Roman" w:eastAsia="仿宋_GB2312" w:cs="Times New Roman"/>
          <w:kern w:val="0"/>
          <w:sz w:val="32"/>
          <w:szCs w:val="22"/>
        </w:rPr>
      </w:pPr>
      <w:r>
        <w:rPr>
          <w:rFonts w:hint="eastAsia" w:ascii="Times New Roman" w:hAnsi="Times New Roman" w:eastAsia="仿宋_GB2312" w:cs="Times New Roman"/>
          <w:kern w:val="0"/>
          <w:sz w:val="32"/>
          <w:szCs w:val="22"/>
          <w:lang w:val="en-US" w:eastAsia="zh-CN"/>
        </w:rPr>
        <w:t>四</w:t>
      </w:r>
      <w:r>
        <w:rPr>
          <w:rFonts w:hint="default" w:ascii="Times New Roman" w:hAnsi="Times New Roman" w:eastAsia="仿宋_GB2312" w:cs="Times New Roman"/>
          <w:kern w:val="0"/>
          <w:sz w:val="32"/>
          <w:szCs w:val="22"/>
        </w:rPr>
        <w:t>、</w:t>
      </w:r>
      <w:r>
        <w:rPr>
          <w:rFonts w:hint="default" w:ascii="Times New Roman" w:hAnsi="Times New Roman" w:eastAsia="仿宋_GB2312" w:cs="Times New Roman"/>
          <w:sz w:val="32"/>
          <w:szCs w:val="22"/>
        </w:rPr>
        <w:t>二级单位完成对申请人的</w:t>
      </w:r>
      <w:r>
        <w:rPr>
          <w:rFonts w:hint="default" w:ascii="Times New Roman" w:hAnsi="Times New Roman" w:eastAsia="仿宋_GB2312" w:cs="Times New Roman"/>
          <w:kern w:val="0"/>
          <w:sz w:val="32"/>
          <w:szCs w:val="22"/>
        </w:rPr>
        <w:t>教育教学能力测试后</w:t>
      </w:r>
      <w:r>
        <w:rPr>
          <w:rFonts w:hint="default" w:ascii="Times New Roman" w:hAnsi="Times New Roman" w:eastAsia="仿宋_GB2312" w:cs="Times New Roman"/>
          <w:sz w:val="32"/>
          <w:szCs w:val="22"/>
        </w:rPr>
        <w:t>，请填写并提交《</w:t>
      </w:r>
      <w:r>
        <w:rPr>
          <w:rFonts w:hint="default" w:ascii="Times New Roman" w:hAnsi="Times New Roman" w:eastAsia="仿宋_GB2312" w:cs="Times New Roman"/>
          <w:kern w:val="0"/>
          <w:sz w:val="32"/>
          <w:szCs w:val="22"/>
        </w:rPr>
        <w:t>北京师范大学高等学校教师资格教育教学能力测试专家审查委员会专业评议组评议结果》</w:t>
      </w:r>
      <w:r>
        <w:rPr>
          <w:rFonts w:hint="eastAsia" w:ascii="Times New Roman" w:hAnsi="Times New Roman" w:eastAsia="仿宋_GB2312" w:cs="Times New Roman"/>
          <w:kern w:val="0"/>
          <w:sz w:val="32"/>
          <w:szCs w:val="22"/>
          <w:lang w:eastAsia="zh-CN"/>
        </w:rPr>
        <w:t>（</w:t>
      </w:r>
      <w:r>
        <w:rPr>
          <w:rFonts w:hint="eastAsia" w:ascii="Times New Roman" w:hAnsi="Times New Roman" w:eastAsia="仿宋_GB2312" w:cs="Times New Roman"/>
          <w:kern w:val="0"/>
          <w:sz w:val="32"/>
          <w:szCs w:val="22"/>
          <w:lang w:val="en-US" w:eastAsia="zh-CN"/>
        </w:rPr>
        <w:t>模板附后</w:t>
      </w:r>
      <w:r>
        <w:rPr>
          <w:rFonts w:hint="eastAsia" w:ascii="Times New Roman" w:hAnsi="Times New Roman" w:eastAsia="仿宋_GB2312" w:cs="Times New Roman"/>
          <w:kern w:val="0"/>
          <w:sz w:val="32"/>
          <w:szCs w:val="22"/>
          <w:lang w:eastAsia="zh-CN"/>
        </w:rPr>
        <w:t>）</w:t>
      </w:r>
      <w:r>
        <w:rPr>
          <w:rFonts w:hint="default" w:ascii="Times New Roman" w:hAnsi="Times New Roman" w:eastAsia="仿宋_GB2312" w:cs="Times New Roman"/>
          <w:kern w:val="0"/>
          <w:sz w:val="32"/>
          <w:szCs w:val="22"/>
        </w:rPr>
        <w:t>，</w:t>
      </w:r>
      <w:r>
        <w:rPr>
          <w:rFonts w:hint="default" w:ascii="Times New Roman" w:hAnsi="Times New Roman" w:eastAsia="仿宋_GB2312" w:cs="Times New Roman"/>
          <w:b/>
          <w:kern w:val="0"/>
          <w:sz w:val="32"/>
          <w:szCs w:val="22"/>
        </w:rPr>
        <w:t>须</w:t>
      </w:r>
      <w:r>
        <w:rPr>
          <w:rFonts w:hint="eastAsia" w:ascii="Times New Roman" w:hAnsi="Times New Roman" w:eastAsia="仿宋_GB2312" w:cs="Times New Roman"/>
          <w:b/>
          <w:kern w:val="0"/>
          <w:sz w:val="32"/>
          <w:szCs w:val="22"/>
          <w:lang w:val="en-US" w:eastAsia="zh-CN"/>
        </w:rPr>
        <w:t>由</w:t>
      </w:r>
      <w:r>
        <w:rPr>
          <w:rFonts w:hint="default" w:ascii="Times New Roman" w:hAnsi="Times New Roman" w:eastAsia="仿宋_GB2312" w:cs="Times New Roman"/>
          <w:b/>
          <w:kern w:val="0"/>
          <w:sz w:val="32"/>
          <w:szCs w:val="22"/>
        </w:rPr>
        <w:t>评议组组长</w:t>
      </w:r>
      <w:r>
        <w:rPr>
          <w:rFonts w:hint="default" w:ascii="Times New Roman" w:hAnsi="Times New Roman" w:eastAsia="仿宋_GB2312" w:cs="Times New Roman"/>
          <w:b/>
          <w:kern w:val="0"/>
          <w:sz w:val="32"/>
          <w:szCs w:val="22"/>
          <w:lang w:val="en-US" w:eastAsia="zh-CN"/>
        </w:rPr>
        <w:t>手写</w:t>
      </w:r>
      <w:r>
        <w:rPr>
          <w:rFonts w:hint="default" w:ascii="Times New Roman" w:hAnsi="Times New Roman" w:eastAsia="仿宋_GB2312" w:cs="Times New Roman"/>
          <w:b/>
          <w:kern w:val="0"/>
          <w:sz w:val="32"/>
          <w:szCs w:val="22"/>
        </w:rPr>
        <w:t>签字</w:t>
      </w:r>
      <w:r>
        <w:rPr>
          <w:rFonts w:hint="eastAsia" w:ascii="Times New Roman" w:hAnsi="Times New Roman" w:eastAsia="仿宋_GB2312" w:cs="Times New Roman"/>
          <w:b/>
          <w:kern w:val="0"/>
          <w:sz w:val="32"/>
          <w:szCs w:val="22"/>
          <w:lang w:val="en-US" w:eastAsia="zh-CN"/>
        </w:rPr>
        <w:t>并加盖</w:t>
      </w:r>
      <w:r>
        <w:rPr>
          <w:rFonts w:hint="default" w:ascii="Times New Roman" w:hAnsi="Times New Roman" w:eastAsia="仿宋_GB2312" w:cs="Times New Roman"/>
          <w:b/>
          <w:kern w:val="0"/>
          <w:sz w:val="32"/>
          <w:szCs w:val="22"/>
        </w:rPr>
        <w:t>公章</w:t>
      </w:r>
      <w:r>
        <w:rPr>
          <w:rFonts w:hint="default" w:ascii="Times New Roman" w:hAnsi="Times New Roman" w:eastAsia="仿宋_GB2312" w:cs="Times New Roman"/>
          <w:kern w:val="0"/>
          <w:sz w:val="32"/>
          <w:szCs w:val="22"/>
        </w:rPr>
        <w:t>，多页应加盖骑缝章，</w:t>
      </w:r>
      <w:r>
        <w:rPr>
          <w:rFonts w:hint="eastAsia" w:ascii="Times New Roman" w:hAnsi="Times New Roman" w:eastAsia="仿宋_GB2312" w:cs="Times New Roman"/>
          <w:kern w:val="0"/>
          <w:sz w:val="32"/>
          <w:szCs w:val="22"/>
          <w:lang w:val="en-US" w:eastAsia="zh-CN"/>
        </w:rPr>
        <w:t>表中</w:t>
      </w:r>
      <w:r>
        <w:rPr>
          <w:rFonts w:hint="default" w:ascii="Times New Roman" w:hAnsi="Times New Roman" w:eastAsia="仿宋_GB2312" w:cs="Times New Roman"/>
          <w:kern w:val="0"/>
          <w:sz w:val="32"/>
          <w:szCs w:val="22"/>
        </w:rPr>
        <w:t>“申请学科”信息应与</w:t>
      </w:r>
      <w:r>
        <w:rPr>
          <w:rFonts w:hint="default" w:ascii="Times New Roman" w:hAnsi="Times New Roman" w:eastAsia="仿宋_GB2312" w:cs="Times New Roman"/>
          <w:kern w:val="0"/>
          <w:sz w:val="32"/>
          <w:szCs w:val="22"/>
          <w:lang w:val="en-US" w:eastAsia="zh-CN"/>
        </w:rPr>
        <w:t>申请人</w:t>
      </w:r>
      <w:r>
        <w:rPr>
          <w:rFonts w:hint="default" w:ascii="Times New Roman" w:hAnsi="Times New Roman" w:eastAsia="仿宋_GB2312" w:cs="Times New Roman"/>
          <w:kern w:val="0"/>
          <w:sz w:val="32"/>
          <w:szCs w:val="22"/>
        </w:rPr>
        <w:t>网上报名信息一致。《评议结果》纸质材料请交至英东学术会堂302办公室。</w:t>
      </w:r>
    </w:p>
    <w:p w14:paraId="154D8789">
      <w:pPr>
        <w:spacing w:after="157" w:afterLines="50" w:line="500" w:lineRule="exact"/>
        <w:ind w:firstLine="640" w:firstLineChars="200"/>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22"/>
          <w:lang w:val="en-US" w:eastAsia="zh-CN"/>
        </w:rPr>
        <w:t>五</w:t>
      </w:r>
      <w:r>
        <w:rPr>
          <w:rFonts w:hint="default" w:ascii="Times New Roman" w:hAnsi="Times New Roman" w:eastAsia="仿宋_GB2312" w:cs="Times New Roman"/>
          <w:kern w:val="0"/>
          <w:sz w:val="32"/>
          <w:szCs w:val="22"/>
        </w:rPr>
        <w:t>、</w:t>
      </w:r>
      <w:r>
        <w:rPr>
          <w:rFonts w:hint="default" w:ascii="Times New Roman" w:hAnsi="Times New Roman" w:eastAsia="仿宋_GB2312" w:cs="Times New Roman"/>
          <w:sz w:val="32"/>
          <w:szCs w:val="22"/>
        </w:rPr>
        <w:t>二级</w:t>
      </w:r>
      <w:r>
        <w:rPr>
          <w:rFonts w:hint="default" w:ascii="Times New Roman" w:hAnsi="Times New Roman" w:eastAsia="仿宋_GB2312" w:cs="Times New Roman"/>
          <w:kern w:val="0"/>
          <w:sz w:val="32"/>
          <w:szCs w:val="32"/>
        </w:rPr>
        <w:t>单位应汇总</w:t>
      </w:r>
      <w:r>
        <w:rPr>
          <w:rFonts w:hint="eastAsia" w:ascii="Times New Roman" w:hAnsi="Times New Roman" w:eastAsia="仿宋_GB2312" w:cs="Times New Roman"/>
          <w:kern w:val="0"/>
          <w:sz w:val="32"/>
          <w:szCs w:val="32"/>
          <w:lang w:val="en-US" w:eastAsia="zh-CN"/>
        </w:rPr>
        <w:t>并</w:t>
      </w:r>
      <w:r>
        <w:rPr>
          <w:rFonts w:hint="default" w:ascii="Times New Roman" w:hAnsi="Times New Roman" w:eastAsia="仿宋_GB2312" w:cs="Times New Roman"/>
          <w:kern w:val="0"/>
          <w:sz w:val="32"/>
          <w:szCs w:val="32"/>
        </w:rPr>
        <w:t>提交申请人的</w:t>
      </w:r>
      <w:r>
        <w:rPr>
          <w:rFonts w:hint="default" w:ascii="Times New Roman" w:hAnsi="Times New Roman" w:eastAsia="仿宋_GB2312" w:cs="Times New Roman"/>
          <w:b/>
          <w:kern w:val="0"/>
          <w:sz w:val="32"/>
          <w:szCs w:val="32"/>
        </w:rPr>
        <w:t>教案</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b/>
          <w:kern w:val="0"/>
          <w:sz w:val="32"/>
          <w:szCs w:val="32"/>
        </w:rPr>
        <w:t>教学视频</w:t>
      </w:r>
      <w:r>
        <w:rPr>
          <w:rFonts w:hint="default" w:ascii="Times New Roman" w:hAnsi="Times New Roman" w:eastAsia="仿宋_GB2312" w:cs="Times New Roman"/>
          <w:kern w:val="0"/>
          <w:sz w:val="32"/>
          <w:szCs w:val="32"/>
        </w:rPr>
        <w:t>等教育教学能力测试材料</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电子版文件请</w:t>
      </w:r>
      <w:r>
        <w:rPr>
          <w:rFonts w:hint="default" w:ascii="Times New Roman" w:hAnsi="Times New Roman" w:eastAsia="仿宋_GB2312" w:cs="Times New Roman"/>
          <w:sz w:val="32"/>
          <w:szCs w:val="32"/>
        </w:rPr>
        <w:t>发至邮箱</w:t>
      </w:r>
      <w:r>
        <w:rPr>
          <w:rFonts w:hint="eastAsia" w:ascii="Times New Roman" w:hAnsi="Times New Roman" w:eastAsia="仿宋_GB2312" w:cs="Times New Roman"/>
          <w:sz w:val="32"/>
          <w:szCs w:val="32"/>
          <w:lang w:val="en-US" w:eastAsia="zh-CN"/>
        </w:rPr>
        <w:t>dwjsgzb</w:t>
      </w:r>
      <w:r>
        <w:rPr>
          <w:rFonts w:hint="default" w:ascii="Times New Roman" w:hAnsi="Times New Roman" w:eastAsia="仿宋_GB2312" w:cs="Times New Roman"/>
          <w:sz w:val="32"/>
          <w:szCs w:val="32"/>
        </w:rPr>
        <w:t>@bnu.edu.cn</w:t>
      </w:r>
      <w:r>
        <w:rPr>
          <w:rFonts w:hint="default"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val="en-US" w:eastAsia="zh-CN"/>
        </w:rPr>
        <w:t>教案</w:t>
      </w:r>
      <w:r>
        <w:rPr>
          <w:rFonts w:hint="default" w:ascii="Times New Roman" w:hAnsi="Times New Roman" w:eastAsia="仿宋_GB2312" w:cs="Times New Roman"/>
          <w:kern w:val="0"/>
          <w:sz w:val="32"/>
          <w:szCs w:val="32"/>
        </w:rPr>
        <w:t>应当表述清晰、结构完整，参考模板</w:t>
      </w:r>
      <w:r>
        <w:rPr>
          <w:rFonts w:hint="eastAsia" w:ascii="Times New Roman" w:hAnsi="Times New Roman" w:eastAsia="仿宋_GB2312" w:cs="Times New Roman"/>
          <w:kern w:val="0"/>
          <w:sz w:val="32"/>
          <w:szCs w:val="32"/>
          <w:lang w:val="en-US" w:eastAsia="zh-CN"/>
        </w:rPr>
        <w:t>附后；</w:t>
      </w:r>
      <w:r>
        <w:rPr>
          <w:rFonts w:hint="default" w:ascii="Times New Roman" w:hAnsi="Times New Roman" w:eastAsia="仿宋_GB2312" w:cs="Times New Roman"/>
          <w:kern w:val="0"/>
          <w:sz w:val="32"/>
          <w:szCs w:val="32"/>
        </w:rPr>
        <w:t>申请人应当出现</w:t>
      </w:r>
      <w:r>
        <w:rPr>
          <w:rFonts w:hint="eastAsia" w:ascii="Times New Roman" w:hAnsi="Times New Roman" w:eastAsia="仿宋_GB2312" w:cs="Times New Roman"/>
          <w:kern w:val="0"/>
          <w:sz w:val="32"/>
          <w:szCs w:val="32"/>
          <w:lang w:val="en-US" w:eastAsia="zh-CN"/>
        </w:rPr>
        <w:t>在</w:t>
      </w:r>
      <w:r>
        <w:rPr>
          <w:rFonts w:hint="default" w:ascii="Times New Roman" w:hAnsi="Times New Roman" w:eastAsia="仿宋_GB2312" w:cs="Times New Roman"/>
          <w:kern w:val="0"/>
          <w:sz w:val="32"/>
          <w:szCs w:val="32"/>
        </w:rPr>
        <w:t>教学视频</w:t>
      </w:r>
      <w:r>
        <w:rPr>
          <w:rFonts w:hint="eastAsia" w:ascii="Times New Roman" w:hAnsi="Times New Roman" w:eastAsia="仿宋_GB2312" w:cs="Times New Roman"/>
          <w:kern w:val="0"/>
          <w:sz w:val="32"/>
          <w:szCs w:val="32"/>
          <w:lang w:val="en-US" w:eastAsia="zh-CN"/>
        </w:rPr>
        <w:t>中</w:t>
      </w:r>
      <w:r>
        <w:rPr>
          <w:rFonts w:hint="default" w:ascii="Times New Roman" w:hAnsi="Times New Roman" w:eastAsia="仿宋_GB2312" w:cs="Times New Roman"/>
          <w:kern w:val="0"/>
          <w:sz w:val="32"/>
          <w:szCs w:val="32"/>
        </w:rPr>
        <w:t>，时长至少10分钟，文件小于500MB</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如</w:t>
      </w:r>
      <w:r>
        <w:rPr>
          <w:rFonts w:hint="default" w:ascii="Times New Roman" w:hAnsi="Times New Roman" w:eastAsia="仿宋_GB2312" w:cs="Times New Roman"/>
          <w:kern w:val="0"/>
          <w:sz w:val="32"/>
          <w:szCs w:val="32"/>
        </w:rPr>
        <w:t>申请人已正式开课，应录制实际授课情况</w:t>
      </w:r>
      <w:r>
        <w:rPr>
          <w:rFonts w:hint="eastAsia" w:ascii="Times New Roman" w:hAnsi="Times New Roman" w:eastAsia="仿宋_GB2312" w:cs="Times New Roman"/>
          <w:kern w:val="0"/>
          <w:sz w:val="32"/>
          <w:szCs w:val="32"/>
          <w:lang w:eastAsia="zh-CN"/>
        </w:rPr>
        <w:t>。</w:t>
      </w:r>
    </w:p>
    <w:p w14:paraId="41309868">
      <w:pPr>
        <w:spacing w:after="157" w:afterLines="50" w:line="500" w:lineRule="exact"/>
        <w:ind w:firstLine="640" w:firstLineChars="200"/>
        <w:rPr>
          <w:rFonts w:hint="eastAsia" w:ascii="Times New Roman" w:hAnsi="Times New Roman" w:eastAsia="仿宋_GB2312" w:cs="Times New Roman"/>
          <w:kern w:val="0"/>
          <w:sz w:val="32"/>
          <w:szCs w:val="32"/>
          <w:lang w:eastAsia="zh-CN"/>
        </w:rPr>
        <w:sectPr>
          <w:pgSz w:w="11906" w:h="16838"/>
          <w:pgMar w:top="1474" w:right="1474" w:bottom="1474" w:left="1587" w:header="851" w:footer="992" w:gutter="0"/>
          <w:cols w:space="425" w:num="1"/>
          <w:docGrid w:type="lines" w:linePitch="312" w:charSpace="0"/>
        </w:sectPr>
      </w:pPr>
    </w:p>
    <w:tbl>
      <w:tblPr>
        <w:tblStyle w:val="10"/>
        <w:tblW w:w="5000" w:type="pct"/>
        <w:tblInd w:w="0" w:type="dxa"/>
        <w:tblLayout w:type="autofit"/>
        <w:tblCellMar>
          <w:top w:w="0" w:type="dxa"/>
          <w:left w:w="108" w:type="dxa"/>
          <w:bottom w:w="0" w:type="dxa"/>
          <w:right w:w="108" w:type="dxa"/>
        </w:tblCellMar>
      </w:tblPr>
      <w:tblGrid>
        <w:gridCol w:w="713"/>
        <w:gridCol w:w="1577"/>
        <w:gridCol w:w="2861"/>
        <w:gridCol w:w="821"/>
        <w:gridCol w:w="2621"/>
        <w:gridCol w:w="2147"/>
        <w:gridCol w:w="1134"/>
        <w:gridCol w:w="2232"/>
      </w:tblGrid>
      <w:tr w14:paraId="5C827AF1">
        <w:tblPrEx>
          <w:tblCellMar>
            <w:top w:w="0" w:type="dxa"/>
            <w:left w:w="108" w:type="dxa"/>
            <w:bottom w:w="0" w:type="dxa"/>
            <w:right w:w="108" w:type="dxa"/>
          </w:tblCellMar>
        </w:tblPrEx>
        <w:trPr>
          <w:trHeight w:val="945" w:hRule="atLeast"/>
        </w:trPr>
        <w:tc>
          <w:tcPr>
            <w:tcW w:w="5000" w:type="pct"/>
            <w:gridSpan w:val="8"/>
            <w:tcBorders>
              <w:top w:val="nil"/>
              <w:left w:val="nil"/>
              <w:bottom w:val="nil"/>
              <w:right w:val="nil"/>
            </w:tcBorders>
            <w:shd w:val="clear" w:color="auto" w:fill="auto"/>
            <w:vAlign w:val="center"/>
          </w:tcPr>
          <w:p w14:paraId="3B12A1D6">
            <w:pPr>
              <w:pStyle w:val="2"/>
              <w:spacing w:before="120" w:after="120" w:line="240" w:lineRule="auto"/>
              <w:jc w:val="center"/>
              <w:rPr>
                <w:rFonts w:ascii="宋体" w:hAnsi="宋体" w:eastAsia="宋体" w:cs="Arial"/>
                <w:b/>
                <w:bCs/>
                <w:color w:val="000000"/>
                <w:kern w:val="0"/>
                <w:sz w:val="36"/>
                <w:szCs w:val="36"/>
              </w:rPr>
            </w:pPr>
            <w:bookmarkStart w:id="2" w:name="_Toc3657"/>
            <w:r>
              <w:rPr>
                <w:rFonts w:hint="eastAsia" w:ascii="宋体" w:hAnsi="宋体" w:eastAsia="宋体"/>
                <w:sz w:val="36"/>
              </w:rPr>
              <w:t>北京师范大学</w:t>
            </w:r>
            <w:r>
              <w:rPr>
                <w:rFonts w:ascii="宋体" w:hAnsi="宋体" w:eastAsia="宋体"/>
                <w:sz w:val="36"/>
              </w:rPr>
              <w:t>高等学校教师资格教育教学能力测试</w:t>
            </w:r>
            <w:r>
              <w:rPr>
                <w:rFonts w:ascii="宋体" w:hAnsi="宋体" w:eastAsia="宋体"/>
                <w:sz w:val="36"/>
              </w:rPr>
              <w:br w:type="textWrapping"/>
            </w:r>
            <w:r>
              <w:rPr>
                <w:rFonts w:hint="eastAsia" w:ascii="宋体" w:hAnsi="宋体" w:eastAsia="宋体"/>
                <w:sz w:val="36"/>
              </w:rPr>
              <w:t>专家审查委员会专业评议组评议结果</w:t>
            </w:r>
            <w:bookmarkEnd w:id="2"/>
          </w:p>
        </w:tc>
      </w:tr>
      <w:tr w14:paraId="642F95AF">
        <w:tblPrEx>
          <w:tblCellMar>
            <w:top w:w="0" w:type="dxa"/>
            <w:left w:w="108" w:type="dxa"/>
            <w:bottom w:w="0" w:type="dxa"/>
            <w:right w:w="108" w:type="dxa"/>
          </w:tblCellMar>
        </w:tblPrEx>
        <w:trPr>
          <w:trHeight w:val="671" w:hRule="atLeast"/>
        </w:trPr>
        <w:tc>
          <w:tcPr>
            <w:tcW w:w="812" w:type="pct"/>
            <w:gridSpan w:val="2"/>
            <w:tcBorders>
              <w:top w:val="nil"/>
              <w:left w:val="nil"/>
              <w:right w:val="nil"/>
            </w:tcBorders>
            <w:shd w:val="clear" w:color="auto" w:fill="auto"/>
            <w:noWrap/>
            <w:vAlign w:val="center"/>
          </w:tcPr>
          <w:p w14:paraId="2D74DBFC">
            <w:pPr>
              <w:widowControl/>
              <w:jc w:val="left"/>
              <w:rPr>
                <w:rFonts w:ascii="宋体" w:hAnsi="宋体" w:eastAsia="宋体" w:cs="Arial"/>
                <w:kern w:val="0"/>
                <w:sz w:val="24"/>
                <w:szCs w:val="24"/>
              </w:rPr>
            </w:pPr>
            <w:r>
              <w:rPr>
                <w:rFonts w:hint="eastAsia" w:ascii="宋体" w:hAnsi="宋体" w:eastAsia="宋体" w:cs="Arial"/>
                <w:kern w:val="0"/>
                <w:sz w:val="24"/>
                <w:szCs w:val="24"/>
              </w:rPr>
              <w:t>单位（公章）：</w:t>
            </w:r>
          </w:p>
        </w:tc>
        <w:tc>
          <w:tcPr>
            <w:tcW w:w="2234" w:type="pct"/>
            <w:gridSpan w:val="3"/>
            <w:tcBorders>
              <w:top w:val="nil"/>
              <w:left w:val="nil"/>
              <w:bottom w:val="single" w:color="auto" w:sz="4" w:space="0"/>
              <w:right w:val="nil"/>
            </w:tcBorders>
            <w:shd w:val="clear" w:color="auto" w:fill="auto"/>
            <w:noWrap/>
            <w:vAlign w:val="center"/>
          </w:tcPr>
          <w:p w14:paraId="4CA53628">
            <w:pPr>
              <w:widowControl/>
              <w:jc w:val="center"/>
              <w:rPr>
                <w:rFonts w:ascii="Times New Roman" w:hAnsi="Times New Roman" w:eastAsia="Times New Roman" w:cs="Times New Roman"/>
                <w:kern w:val="0"/>
                <w:sz w:val="24"/>
                <w:szCs w:val="24"/>
              </w:rPr>
            </w:pPr>
          </w:p>
        </w:tc>
        <w:tc>
          <w:tcPr>
            <w:tcW w:w="1953" w:type="pct"/>
            <w:gridSpan w:val="3"/>
            <w:tcBorders>
              <w:top w:val="nil"/>
              <w:left w:val="nil"/>
              <w:right w:val="nil"/>
            </w:tcBorders>
            <w:shd w:val="clear" w:color="auto" w:fill="auto"/>
            <w:noWrap/>
            <w:vAlign w:val="center"/>
          </w:tcPr>
          <w:p w14:paraId="6A0435DD">
            <w:pPr>
              <w:widowControl/>
              <w:jc w:val="left"/>
              <w:rPr>
                <w:rFonts w:ascii="宋体" w:hAnsi="宋体" w:eastAsia="宋体" w:cs="Arial"/>
                <w:kern w:val="0"/>
                <w:sz w:val="24"/>
                <w:szCs w:val="24"/>
              </w:rPr>
            </w:pPr>
            <w:r>
              <w:rPr>
                <w:rFonts w:hint="eastAsia" w:ascii="宋体" w:hAnsi="宋体" w:eastAsia="宋体" w:cs="Arial"/>
                <w:kern w:val="0"/>
                <w:sz w:val="24"/>
                <w:szCs w:val="24"/>
              </w:rPr>
              <w:t>日期：</w:t>
            </w:r>
          </w:p>
        </w:tc>
      </w:tr>
      <w:tr w14:paraId="782B6329">
        <w:tblPrEx>
          <w:tblCellMar>
            <w:top w:w="0" w:type="dxa"/>
            <w:left w:w="108" w:type="dxa"/>
            <w:bottom w:w="0" w:type="dxa"/>
            <w:right w:w="108" w:type="dxa"/>
          </w:tblCellMar>
        </w:tblPrEx>
        <w:trPr>
          <w:trHeight w:val="735" w:hRule="atLeast"/>
        </w:trPr>
        <w:tc>
          <w:tcPr>
            <w:tcW w:w="25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B2B7FF4">
            <w:pPr>
              <w:widowControl/>
              <w:jc w:val="center"/>
              <w:rPr>
                <w:rFonts w:ascii="宋体" w:hAnsi="宋体" w:eastAsia="宋体" w:cs="Arial"/>
                <w:color w:val="000000"/>
                <w:kern w:val="0"/>
                <w:sz w:val="24"/>
                <w:szCs w:val="24"/>
              </w:rPr>
            </w:pPr>
            <w:r>
              <w:rPr>
                <w:rFonts w:hint="eastAsia" w:ascii="宋体" w:hAnsi="宋体" w:eastAsia="宋体" w:cs="Arial"/>
                <w:color w:val="000000"/>
                <w:kern w:val="0"/>
                <w:sz w:val="24"/>
                <w:szCs w:val="24"/>
              </w:rPr>
              <w:t>序号</w:t>
            </w: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2EA6A461">
            <w:pPr>
              <w:widowControl/>
              <w:jc w:val="center"/>
              <w:rPr>
                <w:rFonts w:ascii="宋体" w:hAnsi="宋体" w:eastAsia="宋体" w:cs="Arial"/>
                <w:color w:val="000000"/>
                <w:kern w:val="0"/>
                <w:sz w:val="24"/>
                <w:szCs w:val="24"/>
              </w:rPr>
            </w:pPr>
            <w:r>
              <w:rPr>
                <w:rFonts w:hint="eastAsia" w:ascii="宋体" w:hAnsi="宋体" w:eastAsia="宋体" w:cs="Arial"/>
                <w:color w:val="000000"/>
                <w:kern w:val="0"/>
                <w:sz w:val="24"/>
                <w:szCs w:val="24"/>
              </w:rPr>
              <w:t>姓名</w:t>
            </w: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3A75FFE9">
            <w:pPr>
              <w:widowControl/>
              <w:jc w:val="center"/>
              <w:rPr>
                <w:rFonts w:hint="default" w:ascii="宋体" w:hAnsi="宋体" w:eastAsia="宋体" w:cs="Arial"/>
                <w:color w:val="000000"/>
                <w:kern w:val="0"/>
                <w:sz w:val="24"/>
                <w:szCs w:val="24"/>
                <w:lang w:val="en-US" w:eastAsia="zh-CN"/>
              </w:rPr>
            </w:pPr>
            <w:r>
              <w:rPr>
                <w:rFonts w:hint="eastAsia" w:ascii="宋体" w:hAnsi="宋体" w:eastAsia="宋体" w:cs="Arial"/>
                <w:color w:val="000000"/>
                <w:kern w:val="0"/>
                <w:sz w:val="24"/>
                <w:szCs w:val="24"/>
                <w:lang w:val="en-US" w:eastAsia="zh-CN"/>
              </w:rPr>
              <w:t>证件号码</w:t>
            </w: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2B6FA92C">
            <w:pPr>
              <w:widowControl/>
              <w:jc w:val="center"/>
              <w:rPr>
                <w:rFonts w:ascii="宋体" w:hAnsi="宋体" w:eastAsia="宋体" w:cs="Arial"/>
                <w:color w:val="000000"/>
                <w:kern w:val="0"/>
                <w:sz w:val="24"/>
                <w:szCs w:val="24"/>
              </w:rPr>
            </w:pPr>
            <w:r>
              <w:rPr>
                <w:rFonts w:hint="eastAsia" w:ascii="宋体" w:hAnsi="宋体" w:eastAsia="宋体" w:cs="Arial"/>
                <w:color w:val="000000"/>
                <w:kern w:val="0"/>
                <w:sz w:val="24"/>
                <w:szCs w:val="24"/>
              </w:rPr>
              <w:t>性别</w:t>
            </w: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7420C82D">
            <w:pPr>
              <w:widowControl/>
              <w:jc w:val="center"/>
              <w:rPr>
                <w:rFonts w:ascii="宋体" w:hAnsi="宋体" w:eastAsia="宋体" w:cs="Arial"/>
                <w:color w:val="000000"/>
                <w:kern w:val="0"/>
                <w:sz w:val="24"/>
                <w:szCs w:val="24"/>
              </w:rPr>
            </w:pPr>
            <w:r>
              <w:rPr>
                <w:rFonts w:hint="eastAsia" w:ascii="宋体" w:hAnsi="宋体" w:eastAsia="宋体" w:cs="Arial"/>
                <w:color w:val="000000"/>
                <w:kern w:val="0"/>
                <w:sz w:val="24"/>
                <w:szCs w:val="24"/>
                <w:lang w:val="en-US" w:eastAsia="zh-CN"/>
              </w:rPr>
              <w:t>教授课程名称</w:t>
            </w: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367E32C1">
            <w:pPr>
              <w:widowControl/>
              <w:jc w:val="center"/>
              <w:rPr>
                <w:rFonts w:hint="default" w:ascii="宋体" w:hAnsi="宋体" w:eastAsia="宋体" w:cs="Arial"/>
                <w:color w:val="000000"/>
                <w:kern w:val="0"/>
                <w:sz w:val="24"/>
                <w:szCs w:val="24"/>
                <w:lang w:val="en-US" w:eastAsia="zh-CN"/>
              </w:rPr>
            </w:pPr>
            <w:r>
              <w:rPr>
                <w:rFonts w:hint="eastAsia" w:ascii="宋体" w:hAnsi="宋体" w:eastAsia="宋体" w:cs="Arial"/>
                <w:color w:val="000000"/>
                <w:kern w:val="0"/>
                <w:sz w:val="24"/>
                <w:szCs w:val="24"/>
              </w:rPr>
              <w:t>申请学科</w:t>
            </w:r>
          </w:p>
        </w:tc>
        <w:tc>
          <w:tcPr>
            <w:tcW w:w="402" w:type="pct"/>
            <w:tcBorders>
              <w:top w:val="single" w:color="auto" w:sz="4" w:space="0"/>
              <w:left w:val="nil"/>
              <w:bottom w:val="single" w:color="auto" w:sz="4" w:space="0"/>
              <w:right w:val="single" w:color="auto" w:sz="4" w:space="0"/>
            </w:tcBorders>
            <w:shd w:val="clear" w:color="auto" w:fill="auto"/>
            <w:vAlign w:val="center"/>
          </w:tcPr>
          <w:p w14:paraId="3519E5FD">
            <w:pPr>
              <w:widowControl/>
              <w:jc w:val="center"/>
              <w:rPr>
                <w:rFonts w:ascii="宋体" w:hAnsi="宋体" w:eastAsia="宋体" w:cs="Arial"/>
                <w:color w:val="000000"/>
                <w:kern w:val="0"/>
                <w:sz w:val="24"/>
                <w:szCs w:val="24"/>
              </w:rPr>
            </w:pPr>
            <w:r>
              <w:rPr>
                <w:rFonts w:hint="eastAsia" w:ascii="宋体" w:hAnsi="宋体" w:eastAsia="宋体" w:cs="Arial"/>
                <w:color w:val="000000"/>
                <w:kern w:val="0"/>
                <w:sz w:val="24"/>
                <w:szCs w:val="24"/>
              </w:rPr>
              <w:t>分数</w:t>
            </w:r>
          </w:p>
        </w:tc>
        <w:tc>
          <w:tcPr>
            <w:tcW w:w="789" w:type="pct"/>
            <w:tcBorders>
              <w:top w:val="single" w:color="auto" w:sz="4" w:space="0"/>
              <w:left w:val="nil"/>
              <w:bottom w:val="single" w:color="auto" w:sz="4" w:space="0"/>
              <w:right w:val="single" w:color="auto" w:sz="4" w:space="0"/>
            </w:tcBorders>
            <w:shd w:val="clear" w:color="auto" w:fill="auto"/>
            <w:vAlign w:val="center"/>
          </w:tcPr>
          <w:p w14:paraId="3862D2A7">
            <w:pPr>
              <w:widowControl/>
              <w:jc w:val="center"/>
              <w:rPr>
                <w:rFonts w:ascii="宋体" w:hAnsi="宋体" w:eastAsia="宋体" w:cs="Arial"/>
                <w:color w:val="000000"/>
                <w:kern w:val="0"/>
                <w:sz w:val="24"/>
                <w:szCs w:val="24"/>
              </w:rPr>
            </w:pPr>
            <w:r>
              <w:rPr>
                <w:rFonts w:hint="eastAsia" w:ascii="宋体" w:hAnsi="宋体" w:eastAsia="宋体" w:cs="Arial"/>
                <w:color w:val="000000"/>
                <w:kern w:val="0"/>
                <w:sz w:val="24"/>
                <w:szCs w:val="24"/>
              </w:rPr>
              <w:t>是否合格</w:t>
            </w:r>
          </w:p>
        </w:tc>
      </w:tr>
      <w:tr w14:paraId="26442F8B">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0A0DB4CF">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2C393AD6">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1AEBE6C3">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3C596FA8">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427724B9">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4CD42EC5">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2B56E3C1">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79553AAE">
            <w:pPr>
              <w:widowControl/>
              <w:jc w:val="center"/>
              <w:rPr>
                <w:rFonts w:ascii="宋体" w:hAnsi="宋体" w:eastAsia="宋体" w:cs="Arial"/>
                <w:kern w:val="0"/>
                <w:sz w:val="24"/>
                <w:szCs w:val="24"/>
              </w:rPr>
            </w:pPr>
          </w:p>
        </w:tc>
      </w:tr>
      <w:tr w14:paraId="3217CAF9">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5890C064">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1BFB40D2">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29018196">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6E005161">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62AA043E">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5147BD16">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57CC0C08">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19F425FC">
            <w:pPr>
              <w:widowControl/>
              <w:jc w:val="center"/>
              <w:rPr>
                <w:rFonts w:ascii="宋体" w:hAnsi="宋体" w:eastAsia="宋体" w:cs="Arial"/>
                <w:kern w:val="0"/>
                <w:sz w:val="24"/>
                <w:szCs w:val="24"/>
              </w:rPr>
            </w:pPr>
          </w:p>
        </w:tc>
      </w:tr>
      <w:tr w14:paraId="6DBB5802">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7B7B59F4">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2840F683">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1B21FBFD">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6526D651">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17D9FF21">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5F63BC0F">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7BA5CB0C">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03E1A920">
            <w:pPr>
              <w:widowControl/>
              <w:jc w:val="center"/>
              <w:rPr>
                <w:rFonts w:ascii="宋体" w:hAnsi="宋体" w:eastAsia="宋体" w:cs="Arial"/>
                <w:kern w:val="0"/>
                <w:sz w:val="24"/>
                <w:szCs w:val="24"/>
              </w:rPr>
            </w:pPr>
          </w:p>
        </w:tc>
      </w:tr>
      <w:tr w14:paraId="5F8C986B">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06E98C8F">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2D4AA5A5">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1747EA32">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4EAD3FC4">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012F59FA">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3E9099C4">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4AA4381B">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55F78C6B">
            <w:pPr>
              <w:widowControl/>
              <w:jc w:val="center"/>
              <w:rPr>
                <w:rFonts w:ascii="宋体" w:hAnsi="宋体" w:eastAsia="宋体" w:cs="Arial"/>
                <w:kern w:val="0"/>
                <w:sz w:val="24"/>
                <w:szCs w:val="24"/>
              </w:rPr>
            </w:pPr>
          </w:p>
        </w:tc>
      </w:tr>
      <w:tr w14:paraId="4229D61B">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4C747A3E">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6F54A9AF">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1F70AA53">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589C17A9">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036536C0">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5D9DFD14">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4A75A747">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208C2279">
            <w:pPr>
              <w:widowControl/>
              <w:jc w:val="center"/>
              <w:rPr>
                <w:rFonts w:ascii="宋体" w:hAnsi="宋体" w:eastAsia="宋体" w:cs="Arial"/>
                <w:kern w:val="0"/>
                <w:sz w:val="24"/>
                <w:szCs w:val="24"/>
              </w:rPr>
            </w:pPr>
          </w:p>
        </w:tc>
      </w:tr>
      <w:tr w14:paraId="36FB247D">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1625D546">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0361C3A8">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2F1BA1FD">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5173665F">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0286C6B7">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52AE2E8F">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4E679C62">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66F9C3EE">
            <w:pPr>
              <w:widowControl/>
              <w:jc w:val="center"/>
              <w:rPr>
                <w:rFonts w:ascii="宋体" w:hAnsi="宋体" w:eastAsia="宋体" w:cs="Arial"/>
                <w:kern w:val="0"/>
                <w:sz w:val="24"/>
                <w:szCs w:val="24"/>
              </w:rPr>
            </w:pPr>
          </w:p>
        </w:tc>
      </w:tr>
      <w:tr w14:paraId="7040E5C0">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79D1EC53">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44C173E3">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220B7168">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389CAFF9">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27BB7098">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17986173">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004909CB">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7DF7FAA3">
            <w:pPr>
              <w:widowControl/>
              <w:jc w:val="center"/>
              <w:rPr>
                <w:rFonts w:ascii="宋体" w:hAnsi="宋体" w:eastAsia="宋体" w:cs="Arial"/>
                <w:kern w:val="0"/>
                <w:sz w:val="24"/>
                <w:szCs w:val="24"/>
              </w:rPr>
            </w:pPr>
          </w:p>
        </w:tc>
      </w:tr>
      <w:tr w14:paraId="3E7D95B8">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03E4E8FC">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0115B994">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33C5EEB0">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6895DA1A">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5EE66D16">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0E302D95">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0739B595">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2161BC87">
            <w:pPr>
              <w:widowControl/>
              <w:jc w:val="center"/>
              <w:rPr>
                <w:rFonts w:ascii="宋体" w:hAnsi="宋体" w:eastAsia="宋体" w:cs="Arial"/>
                <w:kern w:val="0"/>
                <w:sz w:val="24"/>
                <w:szCs w:val="24"/>
              </w:rPr>
            </w:pPr>
          </w:p>
        </w:tc>
      </w:tr>
      <w:tr w14:paraId="0C96B67F">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53732D5D">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36260F51">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6AA17E7A">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3C8B1DCB">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66769EED">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42B29939">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26538946">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187133DC">
            <w:pPr>
              <w:widowControl/>
              <w:jc w:val="center"/>
              <w:rPr>
                <w:rFonts w:ascii="宋体" w:hAnsi="宋体" w:eastAsia="宋体" w:cs="Arial"/>
                <w:kern w:val="0"/>
                <w:sz w:val="24"/>
                <w:szCs w:val="24"/>
              </w:rPr>
            </w:pPr>
          </w:p>
        </w:tc>
      </w:tr>
      <w:tr w14:paraId="7B891158">
        <w:tblPrEx>
          <w:tblCellMar>
            <w:top w:w="0" w:type="dxa"/>
            <w:left w:w="108" w:type="dxa"/>
            <w:bottom w:w="0" w:type="dxa"/>
            <w:right w:w="108" w:type="dxa"/>
          </w:tblCellMar>
        </w:tblPrEx>
        <w:trPr>
          <w:trHeight w:val="465" w:hRule="atLeast"/>
        </w:trPr>
        <w:tc>
          <w:tcPr>
            <w:tcW w:w="253" w:type="pct"/>
            <w:tcBorders>
              <w:top w:val="single" w:color="auto" w:sz="4" w:space="0"/>
              <w:left w:val="single" w:color="auto" w:sz="4" w:space="0"/>
              <w:bottom w:val="single" w:color="auto" w:sz="4" w:space="0"/>
              <w:right w:val="single" w:color="auto" w:sz="4" w:space="0"/>
            </w:tcBorders>
            <w:shd w:val="clear" w:color="auto" w:fill="auto"/>
            <w:vAlign w:val="center"/>
          </w:tcPr>
          <w:p w14:paraId="11D9A2B5">
            <w:pPr>
              <w:widowControl/>
              <w:jc w:val="center"/>
              <w:rPr>
                <w:rFonts w:ascii="宋体" w:hAnsi="宋体" w:eastAsia="宋体" w:cs="Arial"/>
                <w:color w:val="000000"/>
                <w:kern w:val="0"/>
                <w:sz w:val="24"/>
                <w:szCs w:val="24"/>
              </w:rPr>
            </w:pPr>
          </w:p>
        </w:tc>
        <w:tc>
          <w:tcPr>
            <w:tcW w:w="559" w:type="pct"/>
            <w:tcBorders>
              <w:top w:val="single" w:color="auto" w:sz="4" w:space="0"/>
              <w:left w:val="nil"/>
              <w:bottom w:val="single" w:color="auto" w:sz="4" w:space="0"/>
              <w:right w:val="single" w:color="auto" w:sz="4" w:space="0"/>
            </w:tcBorders>
            <w:shd w:val="clear" w:color="auto" w:fill="auto"/>
            <w:noWrap/>
            <w:vAlign w:val="center"/>
          </w:tcPr>
          <w:p w14:paraId="3BCC836C">
            <w:pPr>
              <w:widowControl/>
              <w:jc w:val="center"/>
              <w:rPr>
                <w:rFonts w:ascii="宋体" w:hAnsi="宋体" w:eastAsia="宋体" w:cs="Arial"/>
                <w:kern w:val="0"/>
                <w:sz w:val="24"/>
                <w:szCs w:val="24"/>
              </w:rPr>
            </w:pPr>
          </w:p>
        </w:tc>
        <w:tc>
          <w:tcPr>
            <w:tcW w:w="1014" w:type="pct"/>
            <w:tcBorders>
              <w:top w:val="single" w:color="auto" w:sz="4" w:space="0"/>
              <w:left w:val="nil"/>
              <w:bottom w:val="single" w:color="auto" w:sz="4" w:space="0"/>
              <w:right w:val="single" w:color="auto" w:sz="4" w:space="0"/>
            </w:tcBorders>
            <w:shd w:val="clear" w:color="auto" w:fill="auto"/>
            <w:noWrap/>
            <w:vAlign w:val="center"/>
          </w:tcPr>
          <w:p w14:paraId="634295FC">
            <w:pPr>
              <w:widowControl/>
              <w:jc w:val="center"/>
              <w:rPr>
                <w:rFonts w:ascii="宋体" w:hAnsi="宋体" w:eastAsia="宋体" w:cs="Arial"/>
                <w:kern w:val="0"/>
                <w:sz w:val="24"/>
                <w:szCs w:val="24"/>
              </w:rPr>
            </w:pPr>
          </w:p>
        </w:tc>
        <w:tc>
          <w:tcPr>
            <w:tcW w:w="289" w:type="pct"/>
            <w:tcBorders>
              <w:top w:val="single" w:color="auto" w:sz="4" w:space="0"/>
              <w:left w:val="nil"/>
              <w:bottom w:val="single" w:color="auto" w:sz="4" w:space="0"/>
              <w:right w:val="single" w:color="auto" w:sz="4" w:space="0"/>
            </w:tcBorders>
            <w:shd w:val="clear" w:color="auto" w:fill="auto"/>
            <w:noWrap/>
            <w:vAlign w:val="center"/>
          </w:tcPr>
          <w:p w14:paraId="6C79FC93">
            <w:pPr>
              <w:widowControl/>
              <w:jc w:val="center"/>
              <w:rPr>
                <w:rFonts w:ascii="宋体" w:hAnsi="宋体" w:eastAsia="宋体" w:cs="Arial"/>
                <w:kern w:val="0"/>
                <w:sz w:val="24"/>
                <w:szCs w:val="24"/>
              </w:rPr>
            </w:pPr>
          </w:p>
        </w:tc>
        <w:tc>
          <w:tcPr>
            <w:tcW w:w="929" w:type="pct"/>
            <w:tcBorders>
              <w:top w:val="single" w:color="auto" w:sz="4" w:space="0"/>
              <w:left w:val="nil"/>
              <w:bottom w:val="single" w:color="auto" w:sz="4" w:space="0"/>
              <w:right w:val="single" w:color="auto" w:sz="4" w:space="0"/>
            </w:tcBorders>
            <w:shd w:val="clear" w:color="auto" w:fill="auto"/>
            <w:noWrap/>
            <w:vAlign w:val="center"/>
          </w:tcPr>
          <w:p w14:paraId="46635610">
            <w:pPr>
              <w:widowControl/>
              <w:jc w:val="center"/>
              <w:rPr>
                <w:rFonts w:ascii="宋体" w:hAnsi="宋体" w:eastAsia="宋体" w:cs="Arial"/>
                <w:kern w:val="0"/>
                <w:sz w:val="24"/>
                <w:szCs w:val="24"/>
              </w:rPr>
            </w:pP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631D0910">
            <w:pPr>
              <w:widowControl/>
              <w:jc w:val="center"/>
              <w:rPr>
                <w:rFonts w:ascii="宋体" w:hAnsi="宋体" w:eastAsia="宋体" w:cs="Arial"/>
                <w:kern w:val="0"/>
                <w:sz w:val="24"/>
                <w:szCs w:val="24"/>
              </w:rPr>
            </w:pPr>
          </w:p>
        </w:tc>
        <w:tc>
          <w:tcPr>
            <w:tcW w:w="402" w:type="pct"/>
            <w:tcBorders>
              <w:top w:val="single" w:color="auto" w:sz="4" w:space="0"/>
              <w:left w:val="nil"/>
              <w:bottom w:val="single" w:color="auto" w:sz="4" w:space="0"/>
              <w:right w:val="single" w:color="auto" w:sz="4" w:space="0"/>
            </w:tcBorders>
            <w:shd w:val="clear" w:color="auto" w:fill="auto"/>
            <w:noWrap/>
            <w:vAlign w:val="center"/>
          </w:tcPr>
          <w:p w14:paraId="7AE66DF9">
            <w:pPr>
              <w:widowControl/>
              <w:jc w:val="center"/>
              <w:rPr>
                <w:rFonts w:ascii="宋体" w:hAnsi="宋体" w:eastAsia="宋体" w:cs="Arial"/>
                <w:kern w:val="0"/>
                <w:sz w:val="24"/>
                <w:szCs w:val="24"/>
              </w:rPr>
            </w:pPr>
          </w:p>
        </w:tc>
        <w:tc>
          <w:tcPr>
            <w:tcW w:w="789" w:type="pct"/>
            <w:tcBorders>
              <w:top w:val="single" w:color="auto" w:sz="4" w:space="0"/>
              <w:left w:val="nil"/>
              <w:bottom w:val="single" w:color="auto" w:sz="4" w:space="0"/>
              <w:right w:val="single" w:color="auto" w:sz="4" w:space="0"/>
            </w:tcBorders>
            <w:shd w:val="clear" w:color="auto" w:fill="auto"/>
            <w:noWrap/>
            <w:vAlign w:val="center"/>
          </w:tcPr>
          <w:p w14:paraId="40F394A3">
            <w:pPr>
              <w:widowControl/>
              <w:jc w:val="center"/>
              <w:rPr>
                <w:rFonts w:ascii="宋体" w:hAnsi="宋体" w:eastAsia="宋体" w:cs="Arial"/>
                <w:kern w:val="0"/>
                <w:sz w:val="24"/>
                <w:szCs w:val="24"/>
              </w:rPr>
            </w:pPr>
          </w:p>
        </w:tc>
      </w:tr>
      <w:tr w14:paraId="7E88F796">
        <w:tblPrEx>
          <w:tblCellMar>
            <w:top w:w="0" w:type="dxa"/>
            <w:left w:w="108" w:type="dxa"/>
            <w:bottom w:w="0" w:type="dxa"/>
            <w:right w:w="108" w:type="dxa"/>
          </w:tblCellMar>
        </w:tblPrEx>
        <w:trPr>
          <w:trHeight w:val="465" w:hRule="atLeast"/>
        </w:trPr>
        <w:tc>
          <w:tcPr>
            <w:tcW w:w="2117" w:type="pct"/>
            <w:gridSpan w:val="4"/>
            <w:tcBorders>
              <w:top w:val="nil"/>
              <w:left w:val="nil"/>
              <w:bottom w:val="nil"/>
              <w:right w:val="nil"/>
            </w:tcBorders>
            <w:shd w:val="clear" w:color="auto" w:fill="auto"/>
            <w:noWrap/>
            <w:vAlign w:val="center"/>
          </w:tcPr>
          <w:p w14:paraId="563005C3">
            <w:pPr>
              <w:widowControl/>
              <w:jc w:val="left"/>
              <w:rPr>
                <w:rFonts w:ascii="宋体" w:hAnsi="宋体" w:eastAsia="宋体" w:cs="Arial"/>
                <w:kern w:val="0"/>
                <w:sz w:val="30"/>
                <w:szCs w:val="30"/>
              </w:rPr>
            </w:pPr>
            <w:r>
              <w:rPr>
                <w:rFonts w:hint="eastAsia" w:ascii="宋体" w:hAnsi="宋体" w:eastAsia="宋体" w:cs="Arial"/>
                <w:kern w:val="0"/>
                <w:sz w:val="30"/>
                <w:szCs w:val="30"/>
              </w:rPr>
              <w:t xml:space="preserve">合格： </w:t>
            </w:r>
            <w:r>
              <w:rPr>
                <w:rFonts w:ascii="宋体" w:hAnsi="宋体" w:eastAsia="宋体" w:cs="Arial"/>
                <w:kern w:val="0"/>
                <w:sz w:val="30"/>
                <w:szCs w:val="30"/>
              </w:rPr>
              <w:t xml:space="preserve">  </w:t>
            </w:r>
            <w:r>
              <w:rPr>
                <w:rFonts w:hint="eastAsia" w:ascii="宋体" w:hAnsi="宋体" w:eastAsia="宋体" w:cs="Arial"/>
                <w:kern w:val="0"/>
                <w:sz w:val="30"/>
                <w:szCs w:val="30"/>
              </w:rPr>
              <w:t>人</w:t>
            </w:r>
          </w:p>
        </w:tc>
        <w:tc>
          <w:tcPr>
            <w:tcW w:w="929" w:type="pct"/>
            <w:tcBorders>
              <w:top w:val="nil"/>
              <w:left w:val="nil"/>
              <w:bottom w:val="nil"/>
              <w:right w:val="nil"/>
            </w:tcBorders>
            <w:shd w:val="clear" w:color="auto" w:fill="auto"/>
            <w:noWrap/>
            <w:vAlign w:val="center"/>
          </w:tcPr>
          <w:p w14:paraId="62333DDB">
            <w:pPr>
              <w:widowControl/>
              <w:jc w:val="left"/>
              <w:rPr>
                <w:rFonts w:ascii="宋体" w:hAnsi="宋体" w:eastAsia="宋体" w:cs="Arial"/>
                <w:kern w:val="0"/>
                <w:sz w:val="30"/>
                <w:szCs w:val="30"/>
              </w:rPr>
            </w:pPr>
          </w:p>
        </w:tc>
        <w:tc>
          <w:tcPr>
            <w:tcW w:w="1953" w:type="pct"/>
            <w:gridSpan w:val="3"/>
            <w:tcBorders>
              <w:top w:val="nil"/>
              <w:left w:val="nil"/>
              <w:bottom w:val="nil"/>
              <w:right w:val="nil"/>
            </w:tcBorders>
            <w:shd w:val="clear" w:color="auto" w:fill="auto"/>
            <w:noWrap/>
            <w:vAlign w:val="center"/>
          </w:tcPr>
          <w:p w14:paraId="059E571B">
            <w:pPr>
              <w:widowControl/>
              <w:jc w:val="left"/>
              <w:rPr>
                <w:rFonts w:ascii="Times New Roman" w:hAnsi="Times New Roman" w:eastAsia="Times New Roman" w:cs="Times New Roman"/>
                <w:kern w:val="0"/>
                <w:sz w:val="30"/>
                <w:szCs w:val="30"/>
              </w:rPr>
            </w:pPr>
            <w:r>
              <w:rPr>
                <w:rFonts w:hint="eastAsia" w:ascii="宋体" w:hAnsi="宋体" w:eastAsia="宋体" w:cs="Arial"/>
                <w:kern w:val="0"/>
                <w:sz w:val="30"/>
                <w:szCs w:val="30"/>
              </w:rPr>
              <w:t>组长签字：</w:t>
            </w:r>
          </w:p>
        </w:tc>
      </w:tr>
    </w:tbl>
    <w:p w14:paraId="18096854">
      <w:pPr>
        <w:spacing w:after="157" w:afterLines="50" w:line="500" w:lineRule="exact"/>
        <w:ind w:firstLine="0" w:firstLineChars="0"/>
        <w:rPr>
          <w:rFonts w:hint="default" w:ascii="Times New Roman" w:hAnsi="Times New Roman" w:eastAsia="仿宋_GB2312" w:cs="Times New Roman"/>
          <w:kern w:val="0"/>
          <w:sz w:val="28"/>
          <w:szCs w:val="28"/>
          <w:lang w:eastAsia="zh-CN"/>
        </w:rPr>
      </w:pPr>
    </w:p>
    <w:p w14:paraId="034B88BC">
      <w:pPr>
        <w:jc w:val="center"/>
        <w:rPr>
          <w:rFonts w:ascii="Times New Roman" w:hAnsi="Times New Roman" w:eastAsia="宋体" w:cs="Times New Roman"/>
          <w:b/>
          <w:sz w:val="28"/>
        </w:rPr>
      </w:pPr>
      <w:r>
        <w:rPr>
          <w:rFonts w:ascii="Times New Roman" w:hAnsi="Times New Roman" w:eastAsia="宋体" w:cs="Times New Roman"/>
          <w:b/>
          <w:sz w:val="28"/>
        </w:rPr>
        <w:br w:type="page"/>
      </w:r>
    </w:p>
    <w:p w14:paraId="6AADBE49">
      <w:pPr>
        <w:pStyle w:val="2"/>
        <w:spacing w:before="240" w:after="240" w:line="240" w:lineRule="auto"/>
        <w:jc w:val="center"/>
        <w:rPr>
          <w:rFonts w:hint="eastAsia" w:ascii="黑体" w:hAnsi="黑体" w:eastAsia="黑体" w:cs="黑体"/>
          <w:sz w:val="36"/>
        </w:rPr>
        <w:sectPr>
          <w:pgSz w:w="16838" w:h="11906" w:orient="landscape"/>
          <w:pgMar w:top="1587" w:right="1474" w:bottom="1474" w:left="1474" w:header="851" w:footer="992" w:gutter="0"/>
          <w:cols w:space="425" w:num="1"/>
          <w:docGrid w:type="lines" w:linePitch="312" w:charSpace="0"/>
        </w:sectPr>
      </w:pPr>
      <w:bookmarkStart w:id="3" w:name="_Toc177025206"/>
    </w:p>
    <w:p w14:paraId="7864EC28">
      <w:pPr>
        <w:pStyle w:val="2"/>
        <w:spacing w:before="240" w:after="240" w:line="240" w:lineRule="auto"/>
        <w:jc w:val="center"/>
        <w:rPr>
          <w:rFonts w:hint="eastAsia" w:ascii="黑体" w:hAnsi="黑体" w:eastAsia="黑体" w:cs="黑体"/>
          <w:b w:val="0"/>
          <w:sz w:val="36"/>
        </w:rPr>
      </w:pPr>
      <w:bookmarkStart w:id="4" w:name="_Toc11827"/>
      <w:r>
        <w:rPr>
          <w:rFonts w:hint="eastAsia" w:ascii="黑体" w:hAnsi="黑体" w:eastAsia="黑体" w:cs="黑体"/>
          <w:sz w:val="36"/>
        </w:rPr>
        <w:t>教育教学能力测试《教学方案》（参考模板）</w:t>
      </w:r>
      <w:bookmarkEnd w:id="3"/>
      <w:bookmarkEnd w:id="4"/>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1703"/>
        <w:gridCol w:w="2476"/>
        <w:gridCol w:w="2165"/>
        <w:gridCol w:w="2101"/>
      </w:tblGrid>
      <w:tr w14:paraId="12C3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8" w:type="pct"/>
            <w:vMerge w:val="restart"/>
            <w:vAlign w:val="center"/>
          </w:tcPr>
          <w:p w14:paraId="52C4A84D">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课程信息</w:t>
            </w:r>
          </w:p>
        </w:tc>
        <w:tc>
          <w:tcPr>
            <w:tcW w:w="940" w:type="pct"/>
            <w:vAlign w:val="center"/>
          </w:tcPr>
          <w:p w14:paraId="5D796FDB">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课程名称</w:t>
            </w:r>
          </w:p>
        </w:tc>
        <w:tc>
          <w:tcPr>
            <w:tcW w:w="1367" w:type="pct"/>
            <w:vAlign w:val="center"/>
          </w:tcPr>
          <w:p w14:paraId="16C51541">
            <w:pPr>
              <w:rPr>
                <w:rFonts w:hint="default" w:ascii="Times New Roman" w:hAnsi="Times New Roman" w:eastAsia="仿宋_GB2312" w:cs="Times New Roman"/>
                <w:sz w:val="28"/>
                <w:szCs w:val="28"/>
              </w:rPr>
            </w:pPr>
          </w:p>
        </w:tc>
        <w:tc>
          <w:tcPr>
            <w:tcW w:w="1195" w:type="pct"/>
            <w:vAlign w:val="center"/>
          </w:tcPr>
          <w:p w14:paraId="21CD1949">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课程类型</w:t>
            </w:r>
          </w:p>
        </w:tc>
        <w:tc>
          <w:tcPr>
            <w:tcW w:w="1158" w:type="pct"/>
            <w:vAlign w:val="center"/>
          </w:tcPr>
          <w:p w14:paraId="544FC19C">
            <w:pPr>
              <w:jc w:val="center"/>
              <w:rPr>
                <w:rFonts w:hint="default" w:ascii="Times New Roman" w:hAnsi="Times New Roman" w:eastAsia="仿宋_GB2312" w:cs="Times New Roman"/>
                <w:sz w:val="28"/>
                <w:szCs w:val="28"/>
              </w:rPr>
            </w:pPr>
          </w:p>
        </w:tc>
      </w:tr>
      <w:tr w14:paraId="7068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8" w:type="pct"/>
            <w:vMerge w:val="continue"/>
          </w:tcPr>
          <w:p w14:paraId="6EE3A183">
            <w:pPr>
              <w:jc w:val="center"/>
              <w:rPr>
                <w:rFonts w:hint="default" w:ascii="Times New Roman" w:hAnsi="Times New Roman" w:eastAsia="仿宋_GB2312" w:cs="Times New Roman"/>
                <w:sz w:val="28"/>
                <w:szCs w:val="28"/>
              </w:rPr>
            </w:pPr>
          </w:p>
        </w:tc>
        <w:tc>
          <w:tcPr>
            <w:tcW w:w="940" w:type="pct"/>
            <w:vAlign w:val="center"/>
          </w:tcPr>
          <w:p w14:paraId="2DB817E6">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教学对象</w:t>
            </w:r>
          </w:p>
        </w:tc>
        <w:tc>
          <w:tcPr>
            <w:tcW w:w="1367" w:type="pct"/>
            <w:vAlign w:val="center"/>
          </w:tcPr>
          <w:p w14:paraId="0A79AF65">
            <w:pPr>
              <w:jc w:val="center"/>
              <w:rPr>
                <w:rFonts w:hint="default" w:ascii="Times New Roman" w:hAnsi="Times New Roman" w:eastAsia="仿宋_GB2312" w:cs="Times New Roman"/>
                <w:sz w:val="28"/>
                <w:szCs w:val="28"/>
              </w:rPr>
            </w:pPr>
          </w:p>
        </w:tc>
        <w:tc>
          <w:tcPr>
            <w:tcW w:w="1195" w:type="pct"/>
            <w:vAlign w:val="center"/>
          </w:tcPr>
          <w:p w14:paraId="794A6B30">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学生人数</w:t>
            </w:r>
          </w:p>
        </w:tc>
        <w:tc>
          <w:tcPr>
            <w:tcW w:w="1158" w:type="pct"/>
            <w:vAlign w:val="center"/>
          </w:tcPr>
          <w:p w14:paraId="36FF04CD">
            <w:pPr>
              <w:jc w:val="center"/>
              <w:rPr>
                <w:rFonts w:hint="default" w:ascii="Times New Roman" w:hAnsi="Times New Roman" w:eastAsia="仿宋_GB2312" w:cs="Times New Roman"/>
                <w:sz w:val="28"/>
                <w:szCs w:val="28"/>
              </w:rPr>
            </w:pPr>
          </w:p>
        </w:tc>
      </w:tr>
      <w:tr w14:paraId="0FCE3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8" w:type="pct"/>
            <w:vMerge w:val="continue"/>
          </w:tcPr>
          <w:p w14:paraId="7E6CCEBE">
            <w:pPr>
              <w:jc w:val="center"/>
              <w:rPr>
                <w:rFonts w:hint="default" w:ascii="Times New Roman" w:hAnsi="Times New Roman" w:eastAsia="仿宋_GB2312" w:cs="Times New Roman"/>
                <w:sz w:val="28"/>
                <w:szCs w:val="28"/>
              </w:rPr>
            </w:pPr>
          </w:p>
        </w:tc>
        <w:tc>
          <w:tcPr>
            <w:tcW w:w="940" w:type="pct"/>
            <w:vAlign w:val="center"/>
          </w:tcPr>
          <w:p w14:paraId="2F445C1E">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开课情况</w:t>
            </w:r>
          </w:p>
        </w:tc>
        <w:tc>
          <w:tcPr>
            <w:tcW w:w="3721" w:type="pct"/>
            <w:gridSpan w:val="3"/>
            <w:vAlign w:val="center"/>
          </w:tcPr>
          <w:p w14:paraId="2199C7D6">
            <w:pPr>
              <w:rPr>
                <w:rFonts w:hint="default" w:ascii="Times New Roman" w:hAnsi="Times New Roman" w:eastAsia="仿宋_GB2312" w:cs="Times New Roman"/>
                <w:sz w:val="21"/>
                <w:szCs w:val="36"/>
              </w:rPr>
            </w:pPr>
            <w:r>
              <w:rPr>
                <w:rFonts w:hint="default" w:ascii="Times New Roman" w:hAnsi="Times New Roman" w:eastAsia="仿宋_GB2312" w:cs="Times New Roman"/>
                <w:sz w:val="21"/>
                <w:szCs w:val="36"/>
              </w:rPr>
              <w:t>（请描述实际情况，是否已正式开设和讲授课程、开课起始时间、课程数量和频次等）</w:t>
            </w:r>
          </w:p>
          <w:p w14:paraId="1AECF70C">
            <w:pPr>
              <w:rPr>
                <w:rFonts w:hint="default" w:ascii="Times New Roman" w:hAnsi="Times New Roman" w:eastAsia="仿宋_GB2312" w:cs="Times New Roman"/>
                <w:sz w:val="28"/>
                <w:szCs w:val="28"/>
              </w:rPr>
            </w:pPr>
          </w:p>
        </w:tc>
      </w:tr>
      <w:tr w14:paraId="2CF4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38" w:type="pct"/>
            <w:vMerge w:val="restart"/>
            <w:vAlign w:val="center"/>
          </w:tcPr>
          <w:p w14:paraId="624B36C9">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主讲教师</w:t>
            </w:r>
          </w:p>
        </w:tc>
        <w:tc>
          <w:tcPr>
            <w:tcW w:w="940" w:type="pct"/>
            <w:vAlign w:val="center"/>
          </w:tcPr>
          <w:p w14:paraId="7A8198A7">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姓名</w:t>
            </w:r>
          </w:p>
        </w:tc>
        <w:tc>
          <w:tcPr>
            <w:tcW w:w="1367" w:type="pct"/>
            <w:vAlign w:val="center"/>
          </w:tcPr>
          <w:p w14:paraId="58CA447D">
            <w:pPr>
              <w:jc w:val="center"/>
              <w:rPr>
                <w:rFonts w:hint="default" w:ascii="Times New Roman" w:hAnsi="Times New Roman" w:eastAsia="仿宋_GB2312" w:cs="Times New Roman"/>
                <w:sz w:val="28"/>
                <w:szCs w:val="28"/>
              </w:rPr>
            </w:pPr>
          </w:p>
        </w:tc>
        <w:tc>
          <w:tcPr>
            <w:tcW w:w="1195" w:type="pct"/>
            <w:vAlign w:val="center"/>
          </w:tcPr>
          <w:p w14:paraId="62B25922">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职称</w:t>
            </w:r>
          </w:p>
        </w:tc>
        <w:tc>
          <w:tcPr>
            <w:tcW w:w="1158" w:type="pct"/>
            <w:vAlign w:val="center"/>
          </w:tcPr>
          <w:p w14:paraId="6F125281">
            <w:pPr>
              <w:jc w:val="center"/>
              <w:rPr>
                <w:rFonts w:hint="default" w:ascii="Times New Roman" w:hAnsi="Times New Roman" w:eastAsia="仿宋_GB2312" w:cs="Times New Roman"/>
                <w:sz w:val="28"/>
                <w:szCs w:val="28"/>
              </w:rPr>
            </w:pPr>
          </w:p>
        </w:tc>
      </w:tr>
      <w:tr w14:paraId="1A8D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38" w:type="pct"/>
            <w:vMerge w:val="continue"/>
            <w:vAlign w:val="center"/>
          </w:tcPr>
          <w:p w14:paraId="27D514EA">
            <w:pPr>
              <w:jc w:val="center"/>
              <w:rPr>
                <w:rFonts w:hint="default" w:ascii="Times New Roman" w:hAnsi="Times New Roman" w:eastAsia="仿宋_GB2312" w:cs="Times New Roman"/>
                <w:sz w:val="28"/>
                <w:szCs w:val="28"/>
              </w:rPr>
            </w:pPr>
          </w:p>
        </w:tc>
        <w:tc>
          <w:tcPr>
            <w:tcW w:w="940" w:type="pct"/>
            <w:vAlign w:val="center"/>
          </w:tcPr>
          <w:p w14:paraId="3490160C">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院系</w:t>
            </w:r>
          </w:p>
        </w:tc>
        <w:tc>
          <w:tcPr>
            <w:tcW w:w="1367" w:type="pct"/>
            <w:vAlign w:val="center"/>
          </w:tcPr>
          <w:p w14:paraId="16AA9750">
            <w:pPr>
              <w:jc w:val="center"/>
              <w:rPr>
                <w:rFonts w:hint="default" w:ascii="Times New Roman" w:hAnsi="Times New Roman" w:eastAsia="仿宋_GB2312" w:cs="Times New Roman"/>
                <w:sz w:val="28"/>
                <w:szCs w:val="28"/>
              </w:rPr>
            </w:pPr>
          </w:p>
        </w:tc>
        <w:tc>
          <w:tcPr>
            <w:tcW w:w="1195" w:type="pct"/>
            <w:vAlign w:val="center"/>
          </w:tcPr>
          <w:p w14:paraId="297BA072">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导师姓名</w:t>
            </w:r>
            <w:r>
              <w:rPr>
                <w:rFonts w:hint="default" w:ascii="Times New Roman" w:hAnsi="Times New Roman" w:eastAsia="仿宋_GB2312" w:cs="Times New Roman"/>
                <w:b/>
                <w:sz w:val="28"/>
                <w:szCs w:val="28"/>
              </w:rPr>
              <w:br w:type="textWrapping"/>
            </w:r>
            <w:r>
              <w:rPr>
                <w:rFonts w:hint="default" w:ascii="Times New Roman" w:hAnsi="Times New Roman" w:eastAsia="仿宋_GB2312" w:cs="Times New Roman"/>
                <w:sz w:val="21"/>
                <w:szCs w:val="36"/>
              </w:rPr>
              <w:t>（学校青年教师</w:t>
            </w:r>
            <w:r>
              <w:rPr>
                <w:rFonts w:hint="default" w:ascii="Times New Roman" w:hAnsi="Times New Roman" w:eastAsia="仿宋_GB2312" w:cs="Times New Roman"/>
                <w:sz w:val="21"/>
                <w:szCs w:val="36"/>
              </w:rPr>
              <w:br w:type="textWrapping"/>
            </w:r>
            <w:r>
              <w:rPr>
                <w:rFonts w:hint="default" w:ascii="Times New Roman" w:hAnsi="Times New Roman" w:eastAsia="仿宋_GB2312" w:cs="Times New Roman"/>
                <w:sz w:val="21"/>
                <w:szCs w:val="36"/>
              </w:rPr>
              <w:t>导师制）</w:t>
            </w:r>
          </w:p>
        </w:tc>
        <w:tc>
          <w:tcPr>
            <w:tcW w:w="1158" w:type="pct"/>
            <w:vAlign w:val="bottom"/>
          </w:tcPr>
          <w:p w14:paraId="06C6FABA">
            <w:pPr>
              <w:jc w:val="center"/>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color w:val="D9D9D9" w:themeColor="background1" w:themeShade="D9"/>
                <w:sz w:val="21"/>
                <w:szCs w:val="21"/>
                <w:lang w:val="en-US" w:eastAsia="zh-CN"/>
              </w:rPr>
              <w:t>若无，则填无</w:t>
            </w:r>
          </w:p>
        </w:tc>
      </w:tr>
      <w:tr w14:paraId="12E0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5000" w:type="pct"/>
            <w:gridSpan w:val="5"/>
          </w:tcPr>
          <w:p w14:paraId="3D842DDE">
            <w:pP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教学目标（知识、能力、情感态度等）</w:t>
            </w:r>
            <w:bookmarkStart w:id="7" w:name="_GoBack"/>
            <w:bookmarkEnd w:id="7"/>
          </w:p>
        </w:tc>
      </w:tr>
      <w:tr w14:paraId="3493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4" w:hRule="atLeast"/>
        </w:trPr>
        <w:tc>
          <w:tcPr>
            <w:tcW w:w="5000" w:type="pct"/>
            <w:gridSpan w:val="5"/>
          </w:tcPr>
          <w:p w14:paraId="487466A9">
            <w:pPr>
              <w:rPr>
                <w:rFonts w:hint="default" w:ascii="Times New Roman" w:hAnsi="Times New Roman" w:eastAsia="仿宋_GB2312" w:cs="Times New Roman"/>
                <w:b/>
                <w:sz w:val="28"/>
                <w:szCs w:val="28"/>
              </w:rPr>
            </w:pPr>
            <w:r>
              <w:rPr>
                <w:rFonts w:hint="default" w:ascii="Times New Roman" w:hAnsi="Times New Roman" w:eastAsia="仿宋_GB2312" w:cs="Times New Roman"/>
                <w:b/>
                <w:color w:val="000000"/>
                <w:kern w:val="0"/>
                <w:sz w:val="28"/>
                <w:szCs w:val="28"/>
              </w:rPr>
              <w:t>教学内容（主要内容、教学重点与难点等）</w:t>
            </w:r>
          </w:p>
        </w:tc>
      </w:tr>
      <w:tr w14:paraId="08B26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trPr>
        <w:tc>
          <w:tcPr>
            <w:tcW w:w="5000" w:type="pct"/>
            <w:gridSpan w:val="5"/>
          </w:tcPr>
          <w:p w14:paraId="0E37AB46">
            <w:pPr>
              <w:rPr>
                <w:rFonts w:hint="eastAsia" w:ascii="仿宋_GB2312" w:hAnsi="仿宋_GB2312" w:eastAsia="仿宋_GB2312" w:cs="仿宋_GB2312"/>
                <w:b/>
                <w:sz w:val="28"/>
                <w:szCs w:val="28"/>
              </w:rPr>
            </w:pPr>
            <w:r>
              <w:rPr>
                <w:rFonts w:hint="eastAsia" w:ascii="仿宋_GB2312" w:hAnsi="仿宋_GB2312" w:eastAsia="仿宋_GB2312" w:cs="仿宋_GB2312"/>
                <w:b/>
                <w:color w:val="000000"/>
                <w:kern w:val="0"/>
                <w:sz w:val="28"/>
                <w:szCs w:val="28"/>
              </w:rPr>
              <w:t>教学策略（教学方法、教学组织形式、教学媒体应用）</w:t>
            </w:r>
          </w:p>
        </w:tc>
      </w:tr>
      <w:tr w14:paraId="5EA98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7" w:hRule="atLeast"/>
        </w:trPr>
        <w:tc>
          <w:tcPr>
            <w:tcW w:w="5000" w:type="pct"/>
            <w:gridSpan w:val="5"/>
          </w:tcPr>
          <w:p w14:paraId="3F453FB3">
            <w:pPr>
              <w:rPr>
                <w:rFonts w:hint="eastAsia" w:ascii="仿宋_GB2312" w:hAnsi="仿宋_GB2312" w:eastAsia="仿宋_GB2312" w:cs="仿宋_GB2312"/>
                <w:b/>
                <w:sz w:val="28"/>
                <w:szCs w:val="28"/>
              </w:rPr>
            </w:pPr>
            <w:r>
              <w:rPr>
                <w:rFonts w:hint="eastAsia" w:ascii="仿宋_GB2312" w:hAnsi="仿宋_GB2312" w:eastAsia="仿宋_GB2312" w:cs="仿宋_GB2312"/>
                <w:b/>
                <w:color w:val="000000"/>
                <w:kern w:val="0"/>
                <w:sz w:val="28"/>
                <w:szCs w:val="28"/>
              </w:rPr>
              <w:t>教学过程（导入、展开、总结、含提问、讨论、布置与检查等）</w:t>
            </w:r>
          </w:p>
        </w:tc>
      </w:tr>
      <w:tr w14:paraId="6B7A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trPr>
        <w:tc>
          <w:tcPr>
            <w:tcW w:w="5000" w:type="pct"/>
            <w:gridSpan w:val="5"/>
          </w:tcPr>
          <w:p w14:paraId="2865FBD1">
            <w:pPr>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参考资料及学生阅读材料</w:t>
            </w:r>
          </w:p>
        </w:tc>
      </w:tr>
    </w:tbl>
    <w:p w14:paraId="7D2FE950">
      <w:pPr>
        <w:jc w:val="center"/>
        <w:rPr>
          <w:rFonts w:ascii="Times New Roman" w:hAnsi="Times New Roman" w:eastAsia="宋体" w:cs="Times New Roman"/>
          <w:b/>
          <w:kern w:val="0"/>
          <w:sz w:val="36"/>
          <w:szCs w:val="32"/>
        </w:rPr>
        <w:sectPr>
          <w:pgSz w:w="11906" w:h="16838"/>
          <w:pgMar w:top="1474" w:right="1474" w:bottom="1474" w:left="1587" w:header="851" w:footer="992" w:gutter="0"/>
          <w:cols w:space="425" w:num="1"/>
          <w:docGrid w:type="lines" w:linePitch="312" w:charSpace="0"/>
        </w:sectPr>
      </w:pPr>
    </w:p>
    <w:p w14:paraId="3FC073EC">
      <w:pPr>
        <w:widowControl/>
        <w:shd w:val="clear" w:color="auto" w:fill="FFFFFF"/>
        <w:spacing w:before="157" w:beforeLines="50" w:after="157" w:afterLines="50" w:line="360" w:lineRule="auto"/>
        <w:jc w:val="center"/>
        <w:rPr>
          <w:rFonts w:hint="eastAsia" w:ascii="黑体" w:hAnsi="黑体" w:eastAsia="黑体" w:cs="黑体"/>
          <w:b/>
          <w:kern w:val="0"/>
          <w:sz w:val="36"/>
          <w:szCs w:val="36"/>
        </w:rPr>
      </w:pPr>
      <w:r>
        <w:rPr>
          <w:rFonts w:hint="eastAsia" w:ascii="黑体" w:hAnsi="黑体" w:eastAsia="黑体" w:cs="黑体"/>
          <w:b/>
          <w:kern w:val="0"/>
          <w:sz w:val="36"/>
          <w:szCs w:val="36"/>
        </w:rPr>
        <w:t>北京市教育委员会关于印发《北京市教师资格教育教学能力测试标准及办法》的通知</w:t>
      </w:r>
    </w:p>
    <w:p w14:paraId="552C0AF0">
      <w:pPr>
        <w:widowControl/>
        <w:shd w:val="clear" w:color="auto" w:fill="FFFFFF"/>
        <w:spacing w:line="520" w:lineRule="exact"/>
        <w:jc w:val="righ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京教人〔2002〕4号</w:t>
      </w:r>
    </w:p>
    <w:p w14:paraId="15AC69BD">
      <w:pPr>
        <w:widowControl/>
        <w:shd w:val="clear" w:color="auto" w:fill="FFFFFF"/>
        <w:spacing w:line="520" w:lineRule="exact"/>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各区县教委，各高等学校：</w:t>
      </w:r>
    </w:p>
    <w:p w14:paraId="3644BDEE">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根据《中华人民共和国教师法》、《教师资格条例》、《〈教师资格条例〉实施办法》和北京市贯彻《〈教师资格条例〉实施办法》的实施意见，我委制定了《北京市教师资格教育教学能力测试标准及办法》，现印发给你们，请遵照执行。</w:t>
      </w:r>
    </w:p>
    <w:p w14:paraId="06371999">
      <w:pPr>
        <w:widowControl/>
        <w:shd w:val="clear" w:color="auto" w:fill="FFFFFF"/>
        <w:spacing w:line="520" w:lineRule="exact"/>
        <w:jc w:val="righ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二〇〇二年三月五日</w:t>
      </w:r>
    </w:p>
    <w:p w14:paraId="76B52E15">
      <w:pPr>
        <w:pStyle w:val="2"/>
        <w:spacing w:before="240" w:after="240" w:line="240" w:lineRule="auto"/>
        <w:rPr>
          <w:rFonts w:ascii="Times New Roman" w:hAnsi="Times New Roman" w:eastAsia="宋体" w:cs="Times New Roman"/>
          <w:kern w:val="0"/>
          <w:szCs w:val="21"/>
        </w:rPr>
      </w:pPr>
      <w:bookmarkStart w:id="5" w:name="_Toc3894"/>
      <w:bookmarkStart w:id="6" w:name="_Toc177025208"/>
      <w:r>
        <w:rPr>
          <w:rFonts w:hint="eastAsia" w:ascii="黑体" w:hAnsi="黑体" w:eastAsia="黑体" w:cs="黑体"/>
          <w:kern w:val="0"/>
          <w:sz w:val="36"/>
          <w:szCs w:val="21"/>
        </w:rPr>
        <w:t>北京市教师资格教育教学能力测试标准及办法（节选）</w:t>
      </w:r>
      <w:bookmarkEnd w:id="5"/>
      <w:bookmarkEnd w:id="6"/>
    </w:p>
    <w:p w14:paraId="1F7D0398">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为做好北京市教师资格申请人员的教育教学能力测试工作，保证教师资格制度在本市的顺利实施，根据《教师法》、《教师资格条例》、《〈教师资格条例〉实施办法》和北京市贯彻《〈教师资格条例〉实施办法》的实施意见，结合本市教师队伍建设的实际情况，特制定本测试标准和办法。</w:t>
      </w:r>
    </w:p>
    <w:p w14:paraId="19FF94C5">
      <w:pPr>
        <w:widowControl/>
        <w:shd w:val="clear" w:color="auto" w:fill="FFFFFF"/>
        <w:spacing w:before="156" w:beforeLines="50" w:after="0" w:afterLines="0" w:line="520" w:lineRule="exact"/>
        <w:ind w:firstLine="562" w:firstLineChars="200"/>
        <w:jc w:val="left"/>
        <w:outlineLvl w:val="1"/>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一、参加测试人员的基本条件：</w:t>
      </w:r>
    </w:p>
    <w:p w14:paraId="7CFB0608">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（一）具备《教师法》所规定的思想品德和学历要求，尚未达到退休年龄的人员；</w:t>
      </w:r>
    </w:p>
    <w:p w14:paraId="45235126">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（二）身体条件合格；</w:t>
      </w:r>
    </w:p>
    <w:p w14:paraId="76ECFC89">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（三）普通话达到国家规定的标准，具有相应的等级合格证书；</w:t>
      </w:r>
    </w:p>
    <w:p w14:paraId="7CA11CE3">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（四）非师范教育类专业毕业生须取得教育学、心理学考试合格证书。</w:t>
      </w:r>
    </w:p>
    <w:p w14:paraId="4BDE19E3">
      <w:pPr>
        <w:widowControl/>
        <w:shd w:val="clear" w:color="auto" w:fill="FFFFFF"/>
        <w:spacing w:before="156" w:beforeLines="50" w:after="0" w:afterLines="0" w:line="520" w:lineRule="exact"/>
        <w:ind w:firstLine="562" w:firstLineChars="200"/>
        <w:jc w:val="left"/>
        <w:outlineLvl w:val="1"/>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二、教育教学能力测试的原则：</w:t>
      </w:r>
    </w:p>
    <w:p w14:paraId="2294092F">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（一）坚持广揽人才，注重质量的原则；</w:t>
      </w:r>
    </w:p>
    <w:p w14:paraId="2431233F">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（二）坚持客观、公开、公平、公正的原则；</w:t>
      </w:r>
    </w:p>
    <w:p w14:paraId="0C21F331">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（三）坚持定性与定量评价相结合的原则；</w:t>
      </w:r>
    </w:p>
    <w:p w14:paraId="0D7B6756">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（四）坚持发展性评价的原则；</w:t>
      </w:r>
    </w:p>
    <w:p w14:paraId="5237FB20">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（五）坚持体现现代教育理念的原则。</w:t>
      </w:r>
    </w:p>
    <w:p w14:paraId="48A9CCE5">
      <w:pPr>
        <w:widowControl/>
        <w:shd w:val="clear" w:color="auto" w:fill="FFFFFF"/>
        <w:spacing w:before="156" w:beforeLines="50" w:after="0" w:afterLines="0" w:line="520" w:lineRule="exact"/>
        <w:ind w:firstLine="562" w:firstLineChars="200"/>
        <w:jc w:val="left"/>
        <w:outlineLvl w:val="1"/>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三、教育教学能力测试的总体要求</w:t>
      </w:r>
    </w:p>
    <w:p w14:paraId="352657F7">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（一）遵守国家法律、法规，具有教师必备的职业道德修养和良好的心理素质；</w:t>
      </w:r>
    </w:p>
    <w:p w14:paraId="1B09725A">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（二）具有现代教育理念、扎实的专业知识和较为广博的相关学科知识；</w:t>
      </w:r>
    </w:p>
    <w:p w14:paraId="5474B572">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（三）能正确理解教学大纲，熟悉本学科内容，进行教学设计，写出教案；</w:t>
      </w:r>
    </w:p>
    <w:p w14:paraId="1C61AC96">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（四）能较好地运用教学语言、教学方法、教学技能组织实施教学设计；能运用现代教育技术手段组织教学活动；</w:t>
      </w:r>
    </w:p>
    <w:p w14:paraId="6A26A59F">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（五）能够对自己的教学过程与效果进行自我评价和分析，并进行适当地调节和改进；</w:t>
      </w:r>
    </w:p>
    <w:p w14:paraId="67ACA844">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（六）具有教学研究和科学研究的能力。</w:t>
      </w:r>
    </w:p>
    <w:p w14:paraId="65C01AEF">
      <w:pPr>
        <w:widowControl/>
        <w:shd w:val="clear" w:color="auto" w:fill="FFFFFF"/>
        <w:spacing w:before="156" w:beforeLines="50" w:after="0" w:afterLines="0" w:line="520" w:lineRule="exact"/>
        <w:ind w:firstLine="562" w:firstLineChars="200"/>
        <w:jc w:val="left"/>
        <w:outlineLvl w:val="1"/>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四、教育教学能力测试的标准</w:t>
      </w:r>
    </w:p>
    <w:p w14:paraId="15D621B0">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教育教学能力测试的成绩满分100分，分为A、B、C、D四级，100-90分为A级，89-75分为B级，74-60分为C级，60分（不含60分）以下为D级。A、B、C级为合格。</w:t>
      </w:r>
    </w:p>
    <w:p w14:paraId="52D70EC4">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（一）幼儿园教师资格教育教学能力测试的标准</w:t>
      </w:r>
    </w:p>
    <w:p w14:paraId="1F5E4707">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（二）小学教师资格教育教学能力测试的标准</w:t>
      </w:r>
    </w:p>
    <w:p w14:paraId="7ED79881">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（三）初级中学教师资格教育教学能力测试的标准</w:t>
      </w:r>
    </w:p>
    <w:p w14:paraId="30027936">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（四）高级中学教师资格教育教学能力测试的标准</w:t>
      </w:r>
    </w:p>
    <w:p w14:paraId="69F0D944">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（五）中等职业学校教师资格教育教学能力测试的标准</w:t>
      </w:r>
    </w:p>
    <w:p w14:paraId="57CBFEF0">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（六）中等职业学校实习指导教师资格教育教学能力测试的标准</w:t>
      </w:r>
    </w:p>
    <w:p w14:paraId="480012FB">
      <w:pPr>
        <w:widowControl/>
        <w:shd w:val="clear" w:color="auto" w:fill="FFFFFF"/>
        <w:spacing w:before="0" w:beforeLines="0" w:after="0" w:afterLines="0" w:line="520" w:lineRule="exact"/>
        <w:ind w:firstLine="562" w:firstLineChars="200"/>
        <w:jc w:val="left"/>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（七）高等学校教师资格教育教学能力测试的标准</w:t>
      </w:r>
    </w:p>
    <w:p w14:paraId="45E50033">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高等学校教师资格教育教学能力主要从职业道德及心理素质、专业理论知识、教学能力、现代教育技术应用能力、外语能力、自我评价和综合表现七个方面进行测试。具体标准规定如下：</w:t>
      </w:r>
    </w:p>
    <w:p w14:paraId="7D457645">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1．职业道德和心理素质：热爱教育事业，遵守教师职业道德规范，热爱学生，注重教书育人，心理健康。</w:t>
      </w:r>
    </w:p>
    <w:p w14:paraId="6CD73BC9">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2．专业理论知识：具有扎实的本专业知识，具有较为广博的相关学科知识，了解当前教学改革中的有关问题。</w:t>
      </w:r>
    </w:p>
    <w:p w14:paraId="181D7EA4">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3．教学能力：选择教育教学内容和方法得当，设计教学方案合理，掌握和运用教育学、心理学知识的能力较强，语言表达简练、生动、流畅。</w:t>
      </w:r>
    </w:p>
    <w:p w14:paraId="3E900D5B">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4．现代教育技术应用能力：能较熟练地操作计算机，并运用现代教学手段进行教学。具有教育部高等学校教育技术协作委员会颁发的“教育技术等级证书”者，可免于此项测试。</w:t>
      </w:r>
    </w:p>
    <w:p w14:paraId="375D233E">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5．外语水平：掌握一门以上外语，达到大学外语六级以上水平，具有较强的综合运用语言的能力。具有大学英语六级（其他语种参照执行）或硕士以上学位证书者，可免于此项测试。</w:t>
      </w:r>
    </w:p>
    <w:p w14:paraId="0B1DCA6F">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6．自我评价：能对教学过程、师生状态、教学效果进行评价和反思，达到改进教学的目的。</w:t>
      </w:r>
    </w:p>
    <w:p w14:paraId="10EBADB0">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7．综合表现：有扎实的专业知识和较为广博的相关学科知识；教学效果良好；具有较好的科学研究能力和潜能；培养学生科学意识、创新能力的意图比较明显，具备教书育人的能力和基本素质。</w:t>
      </w:r>
    </w:p>
    <w:p w14:paraId="3C72F69B">
      <w:pPr>
        <w:widowControl/>
        <w:shd w:val="clear" w:color="auto" w:fill="FFFFFF"/>
        <w:spacing w:before="156" w:beforeLines="50" w:after="0" w:afterLines="0" w:line="520" w:lineRule="exact"/>
        <w:ind w:firstLine="562" w:firstLineChars="200"/>
        <w:jc w:val="left"/>
        <w:outlineLvl w:val="1"/>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五、教育教学能力测试的程序</w:t>
      </w:r>
    </w:p>
    <w:p w14:paraId="216B5E98">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（一）教师资格认定机构公布教师资格认定教育教学能力测试的申请程序及具体测试时间、地点；</w:t>
      </w:r>
    </w:p>
    <w:p w14:paraId="2F18AF3B">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（二）在专家审查委员会的指导下，各专业评议组确定测试题目，并至少提前一周通知申请人员；</w:t>
      </w:r>
    </w:p>
    <w:p w14:paraId="6107453F">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（三）申请人员按时到测试地点备考，并在测试前30分钟提交所讲内容的教案或活动设计方案3至5份；</w:t>
      </w:r>
    </w:p>
    <w:p w14:paraId="6EF8616B">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（四）测试开始后，首先由申请人试讲或组织活动20-30分钟，内容为教案或活动设计方案中最能代表本人教育教学技能的部分；</w:t>
      </w:r>
    </w:p>
    <w:p w14:paraId="49BE366A">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（五）申请人员对自己所讲授的内容或组织的活动进行5分钟的自我评价；</w:t>
      </w:r>
    </w:p>
    <w:p w14:paraId="213A53C1">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（六）学科专家评议组针对申请人所讲授的内容或组织的活动进行提问，由申请人当场答辩，时间为15-20分钟；</w:t>
      </w:r>
    </w:p>
    <w:p w14:paraId="55ABE562">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（七）专家评议组对照评价标准给申请人打出恰当的评分，汇总后得出测试结果。</w:t>
      </w:r>
    </w:p>
    <w:p w14:paraId="3E8BCB60">
      <w:pPr>
        <w:widowControl/>
        <w:shd w:val="clear" w:color="auto" w:fill="FFFFFF"/>
        <w:spacing w:before="156" w:beforeLines="50" w:after="0" w:afterLines="0" w:line="520" w:lineRule="exact"/>
        <w:ind w:firstLine="562" w:firstLineChars="200"/>
        <w:jc w:val="left"/>
        <w:outlineLvl w:val="1"/>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六、教育教学能力测试的组织管理和要求：</w:t>
      </w:r>
    </w:p>
    <w:p w14:paraId="1405F57F">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（一）各教师资格认定机构成立专家审查委员会。专家审查委员会实行任期制，每届任期三年，委员会成员名单在任期内不得对外公布。</w:t>
      </w:r>
    </w:p>
    <w:p w14:paraId="43A7D7E3">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专家审查委员会下设各学科的专家评议组。专家评议组成员上岗前必须进行培训，以了解测试的目的、要求及相应的程序。按照测试办法和程序对申请认定教师资格的人员进行教育教学能力测试，提出审查意见，并由专家评议组组长签名盖章。</w:t>
      </w:r>
    </w:p>
    <w:p w14:paraId="1911F5A3">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（三）专家审查委员会对各专业评议组报送的测试结果进行审查。</w:t>
      </w:r>
    </w:p>
    <w:p w14:paraId="61091D58">
      <w:pPr>
        <w:widowControl/>
        <w:shd w:val="clear" w:color="auto" w:fill="FFFFFF"/>
        <w:spacing w:line="52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（四）专家审查委员会将审查结果报教师资格认定机构。</w:t>
      </w:r>
    </w:p>
    <w:p w14:paraId="35B79C79">
      <w:pPr>
        <w:widowControl/>
        <w:shd w:val="clear" w:color="auto" w:fill="FFFFFF"/>
        <w:spacing w:before="156" w:beforeLines="50" w:after="0" w:afterLines="0" w:line="520" w:lineRule="exact"/>
        <w:ind w:firstLine="562" w:firstLineChars="200"/>
        <w:jc w:val="left"/>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七、本办法自发文之日起执行。由北京市教育委员会负责解释。</w:t>
      </w:r>
    </w:p>
    <w:p w14:paraId="2F1B0C7A">
      <w:pPr>
        <w:spacing w:after="156" w:afterLines="50" w:line="500" w:lineRule="exact"/>
        <w:rPr>
          <w:rFonts w:ascii="Times New Roman" w:hAnsi="Times New Roman" w:eastAsia="宋体" w:cs="Times New Roman"/>
          <w:kern w:val="0"/>
          <w:sz w:val="28"/>
          <w:szCs w:val="21"/>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BBCB77A-F117-4B49-BEC4-2491F4A1166E}"/>
  </w:font>
  <w:font w:name="黑体">
    <w:panose1 w:val="02010609060101010101"/>
    <w:charset w:val="86"/>
    <w:family w:val="auto"/>
    <w:pitch w:val="default"/>
    <w:sig w:usb0="800002BF" w:usb1="38CF7CFA" w:usb2="00000016" w:usb3="00000000" w:csb0="00040001" w:csb1="00000000"/>
    <w:embedRegular r:id="rId2" w:fontKey="{41F2EB95-CCCA-4A1D-A69C-9B072EE908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B3E0F103-11C2-4A58-B7D6-5BAAD1AF5574}"/>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embedRegular r:id="rId4" w:fontKey="{1006EDC1-307F-4116-9E19-D3EF00764EFC}"/>
  </w:font>
  <w:font w:name="仿宋_GB2312">
    <w:panose1 w:val="02010609030101010101"/>
    <w:charset w:val="86"/>
    <w:family w:val="auto"/>
    <w:pitch w:val="default"/>
    <w:sig w:usb0="00000001" w:usb1="080E0000" w:usb2="00000000" w:usb3="00000000" w:csb0="00040000" w:csb1="00000000"/>
    <w:embedRegular r:id="rId5" w:fontKey="{5B9EF03E-4C78-499C-A740-C5229E2372A0}"/>
  </w:font>
  <w:font w:name="WPSEMBED1">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F2"/>
    <w:rsid w:val="00012047"/>
    <w:rsid w:val="00015063"/>
    <w:rsid w:val="00015952"/>
    <w:rsid w:val="00032A2A"/>
    <w:rsid w:val="000423F5"/>
    <w:rsid w:val="0004485D"/>
    <w:rsid w:val="000B5D16"/>
    <w:rsid w:val="000C77DA"/>
    <w:rsid w:val="000E76EE"/>
    <w:rsid w:val="000F5CB3"/>
    <w:rsid w:val="000F785B"/>
    <w:rsid w:val="00114C7B"/>
    <w:rsid w:val="00116E28"/>
    <w:rsid w:val="00124940"/>
    <w:rsid w:val="00127A5F"/>
    <w:rsid w:val="0013553D"/>
    <w:rsid w:val="0015136A"/>
    <w:rsid w:val="00154368"/>
    <w:rsid w:val="00172794"/>
    <w:rsid w:val="00186AE7"/>
    <w:rsid w:val="00196DE0"/>
    <w:rsid w:val="001B45C2"/>
    <w:rsid w:val="001C0C66"/>
    <w:rsid w:val="00237987"/>
    <w:rsid w:val="002B7692"/>
    <w:rsid w:val="00322B32"/>
    <w:rsid w:val="00335BE4"/>
    <w:rsid w:val="00361E9F"/>
    <w:rsid w:val="00364AF6"/>
    <w:rsid w:val="00372ADF"/>
    <w:rsid w:val="003818BB"/>
    <w:rsid w:val="00394FC7"/>
    <w:rsid w:val="003C6038"/>
    <w:rsid w:val="003F29F2"/>
    <w:rsid w:val="003F38D6"/>
    <w:rsid w:val="00420066"/>
    <w:rsid w:val="00444F1F"/>
    <w:rsid w:val="0046789F"/>
    <w:rsid w:val="00496C43"/>
    <w:rsid w:val="00497F62"/>
    <w:rsid w:val="004B1A26"/>
    <w:rsid w:val="004B3D0C"/>
    <w:rsid w:val="004E0B19"/>
    <w:rsid w:val="005029B2"/>
    <w:rsid w:val="0050537A"/>
    <w:rsid w:val="0054683A"/>
    <w:rsid w:val="00590E84"/>
    <w:rsid w:val="00594569"/>
    <w:rsid w:val="005B280C"/>
    <w:rsid w:val="005E6A1E"/>
    <w:rsid w:val="005F1164"/>
    <w:rsid w:val="005F4E63"/>
    <w:rsid w:val="0067221E"/>
    <w:rsid w:val="006E0B1D"/>
    <w:rsid w:val="006F1760"/>
    <w:rsid w:val="00713447"/>
    <w:rsid w:val="007406F9"/>
    <w:rsid w:val="007531AC"/>
    <w:rsid w:val="00770FF6"/>
    <w:rsid w:val="007731E3"/>
    <w:rsid w:val="00775FE6"/>
    <w:rsid w:val="0078455C"/>
    <w:rsid w:val="00785052"/>
    <w:rsid w:val="007A6DEC"/>
    <w:rsid w:val="007C342F"/>
    <w:rsid w:val="007D2C9C"/>
    <w:rsid w:val="007E2722"/>
    <w:rsid w:val="007E743D"/>
    <w:rsid w:val="00820575"/>
    <w:rsid w:val="00830E4F"/>
    <w:rsid w:val="00841B9E"/>
    <w:rsid w:val="00864E53"/>
    <w:rsid w:val="00870428"/>
    <w:rsid w:val="008A0C0E"/>
    <w:rsid w:val="008F10A1"/>
    <w:rsid w:val="009000E3"/>
    <w:rsid w:val="00901148"/>
    <w:rsid w:val="00955C40"/>
    <w:rsid w:val="009A4740"/>
    <w:rsid w:val="009B3DA9"/>
    <w:rsid w:val="009C2AEE"/>
    <w:rsid w:val="009D072C"/>
    <w:rsid w:val="00A20928"/>
    <w:rsid w:val="00A60D52"/>
    <w:rsid w:val="00A65E45"/>
    <w:rsid w:val="00A7333B"/>
    <w:rsid w:val="00A75876"/>
    <w:rsid w:val="00A809EC"/>
    <w:rsid w:val="00A8273A"/>
    <w:rsid w:val="00A83193"/>
    <w:rsid w:val="00AB525A"/>
    <w:rsid w:val="00B00CEB"/>
    <w:rsid w:val="00B01DA1"/>
    <w:rsid w:val="00B048B9"/>
    <w:rsid w:val="00B27DB3"/>
    <w:rsid w:val="00B56568"/>
    <w:rsid w:val="00B83BB1"/>
    <w:rsid w:val="00B85D49"/>
    <w:rsid w:val="00B96C8A"/>
    <w:rsid w:val="00BA7E0D"/>
    <w:rsid w:val="00C21C83"/>
    <w:rsid w:val="00C32EF2"/>
    <w:rsid w:val="00C37CB9"/>
    <w:rsid w:val="00C74582"/>
    <w:rsid w:val="00C76982"/>
    <w:rsid w:val="00CC3C15"/>
    <w:rsid w:val="00D23E63"/>
    <w:rsid w:val="00D33999"/>
    <w:rsid w:val="00D35D13"/>
    <w:rsid w:val="00D4515C"/>
    <w:rsid w:val="00D456CF"/>
    <w:rsid w:val="00D66AFB"/>
    <w:rsid w:val="00D674CF"/>
    <w:rsid w:val="00D71FAB"/>
    <w:rsid w:val="00DD564B"/>
    <w:rsid w:val="00DD66D4"/>
    <w:rsid w:val="00DF39CD"/>
    <w:rsid w:val="00E04F50"/>
    <w:rsid w:val="00E14F47"/>
    <w:rsid w:val="00E20FA6"/>
    <w:rsid w:val="00E271B3"/>
    <w:rsid w:val="00E87A9C"/>
    <w:rsid w:val="00EB343A"/>
    <w:rsid w:val="00EC3B11"/>
    <w:rsid w:val="00ED69F1"/>
    <w:rsid w:val="00EF437C"/>
    <w:rsid w:val="00F30BCC"/>
    <w:rsid w:val="00F358E0"/>
    <w:rsid w:val="00F42358"/>
    <w:rsid w:val="00F54516"/>
    <w:rsid w:val="00F714D2"/>
    <w:rsid w:val="00F75385"/>
    <w:rsid w:val="00F86412"/>
    <w:rsid w:val="00F970ED"/>
    <w:rsid w:val="00FA2BAC"/>
    <w:rsid w:val="00FB0494"/>
    <w:rsid w:val="00FB6D45"/>
    <w:rsid w:val="00FB70D8"/>
    <w:rsid w:val="00FC5673"/>
    <w:rsid w:val="00FF5EDA"/>
    <w:rsid w:val="02BF31EB"/>
    <w:rsid w:val="03065B89"/>
    <w:rsid w:val="057B6645"/>
    <w:rsid w:val="07271759"/>
    <w:rsid w:val="08F24ED2"/>
    <w:rsid w:val="0A23739A"/>
    <w:rsid w:val="0D352639"/>
    <w:rsid w:val="22D6535B"/>
    <w:rsid w:val="25972E33"/>
    <w:rsid w:val="2A6660C1"/>
    <w:rsid w:val="35E665FB"/>
    <w:rsid w:val="36663D35"/>
    <w:rsid w:val="3AC93C58"/>
    <w:rsid w:val="41661364"/>
    <w:rsid w:val="42327A2E"/>
    <w:rsid w:val="4AB0760C"/>
    <w:rsid w:val="4E5B201A"/>
    <w:rsid w:val="54BF374E"/>
    <w:rsid w:val="56F364CD"/>
    <w:rsid w:val="5D203C27"/>
    <w:rsid w:val="65217819"/>
    <w:rsid w:val="6BE06263"/>
    <w:rsid w:val="6DE03FDB"/>
    <w:rsid w:val="775C13BB"/>
    <w:rsid w:val="79892B12"/>
    <w:rsid w:val="7A8F7FAB"/>
    <w:rsid w:val="7ADF582F"/>
    <w:rsid w:val="7B574CEE"/>
    <w:rsid w:val="7DCD3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alloon Text"/>
    <w:basedOn w:val="1"/>
    <w:link w:val="19"/>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unhideWhenUsed/>
    <w:qFormat/>
    <w:uiPriority w:val="39"/>
  </w:style>
  <w:style w:type="paragraph" w:styleId="8">
    <w:name w:val="toc 2"/>
    <w:basedOn w:val="1"/>
    <w:next w:val="1"/>
    <w:autoRedefine/>
    <w:unhideWhenUsed/>
    <w:qFormat/>
    <w:uiPriority w:val="39"/>
    <w:pPr>
      <w:ind w:left="420" w:leftChars="200"/>
    </w:pPr>
  </w:style>
  <w:style w:type="paragraph" w:styleId="9">
    <w:name w:val="annotation subject"/>
    <w:basedOn w:val="3"/>
    <w:next w:val="3"/>
    <w:link w:val="18"/>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6"/>
    <w:qFormat/>
    <w:uiPriority w:val="99"/>
    <w:rPr>
      <w:sz w:val="18"/>
      <w:szCs w:val="18"/>
    </w:rPr>
  </w:style>
  <w:style w:type="character" w:customStyle="1" w:styleId="16">
    <w:name w:val="页脚 字符"/>
    <w:basedOn w:val="12"/>
    <w:link w:val="5"/>
    <w:qFormat/>
    <w:uiPriority w:val="99"/>
    <w:rPr>
      <w:sz w:val="18"/>
      <w:szCs w:val="18"/>
    </w:rPr>
  </w:style>
  <w:style w:type="character" w:customStyle="1" w:styleId="17">
    <w:name w:val="批注文字 字符"/>
    <w:basedOn w:val="12"/>
    <w:link w:val="3"/>
    <w:qFormat/>
    <w:uiPriority w:val="99"/>
  </w:style>
  <w:style w:type="character" w:customStyle="1" w:styleId="18">
    <w:name w:val="批注主题 字符"/>
    <w:basedOn w:val="17"/>
    <w:link w:val="9"/>
    <w:semiHidden/>
    <w:qFormat/>
    <w:uiPriority w:val="99"/>
    <w:rPr>
      <w:b/>
      <w:bCs/>
    </w:rPr>
  </w:style>
  <w:style w:type="character" w:customStyle="1" w:styleId="19">
    <w:name w:val="批注框文本 字符"/>
    <w:basedOn w:val="12"/>
    <w:link w:val="4"/>
    <w:semiHidden/>
    <w:qFormat/>
    <w:uiPriority w:val="99"/>
    <w:rPr>
      <w:sz w:val="18"/>
      <w:szCs w:val="18"/>
    </w:rPr>
  </w:style>
  <w:style w:type="character" w:customStyle="1" w:styleId="20">
    <w:name w:val="标题 1 字符"/>
    <w:basedOn w:val="12"/>
    <w:link w:val="2"/>
    <w:qFormat/>
    <w:uiPriority w:val="9"/>
    <w:rPr>
      <w:b/>
      <w:bCs/>
      <w:kern w:val="44"/>
      <w:sz w:val="44"/>
      <w:szCs w:val="44"/>
    </w:rPr>
  </w:style>
  <w:style w:type="paragraph" w:customStyle="1" w:styleId="2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2">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3117</Words>
  <Characters>3170</Characters>
  <Lines>26</Lines>
  <Paragraphs>7</Paragraphs>
  <TotalTime>4</TotalTime>
  <ScaleCrop>false</ScaleCrop>
  <LinksUpToDate>false</LinksUpToDate>
  <CharactersWithSpaces>3185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2020-10-10T06:39:00Z</dcterms:created>
  <dc:creator>Peng Yuanyuan</dc:creator>
  <cp:lastModifiedBy>张爽</cp:lastModifiedBy>
  <cp:lastPrinted>2022-09-21T02:51:00Z</cp:lastPrinted>
  <dcterms:modified xsi:type="dcterms:W3CDTF">2026-04-14T09:01:50Z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eyJoZGlkIjoiNTQwMGVkZjg4YTdjNmU3NDI0NGYyM2E5MDhmYWI4MDIiLCJ1c2VySWQiOiIxNTUwNDQzODI4In0=</vt:lpwstr>
  </property>
  <property fmtid="{D5CDD505-2E9C-101B-9397-08002B2CF9AE}" pid="3" name="KSOProductBuildVer">
    <vt:lpwstr>2052-12.1.0.23542</vt:lpwstr>
  </property>
  <property fmtid="{D5CDD505-2E9C-101B-9397-08002B2CF9AE}" pid="4" name="ICV">
    <vt:lpwstr>B9DBBFEB8A4843F7B64E8D5B136EFE1C_13</vt:lpwstr>
  </property>
</Properties>
</file>