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834BD">
      <w:pPr>
        <w:spacing w:before="312" w:beforeLines="100" w:after="468" w:afterLines="150" w:line="500" w:lineRule="exact"/>
        <w:jc w:val="center"/>
        <w:rPr>
          <w:rFonts w:ascii="Times New Roman" w:hAnsi="Times New Roman" w:eastAsia="宋体" w:cs="Times New Roman"/>
          <w:b/>
          <w:sz w:val="36"/>
          <w:szCs w:val="21"/>
        </w:rPr>
      </w:pPr>
      <w:r>
        <w:rPr>
          <w:rFonts w:ascii="Times New Roman" w:hAnsi="Times New Roman" w:eastAsia="宋体" w:cs="Times New Roman"/>
          <w:b/>
          <w:sz w:val="36"/>
          <w:szCs w:val="21"/>
        </w:rPr>
        <w:t>附件1：申请人教育教学能力测试材料要求</w:t>
      </w:r>
    </w:p>
    <w:p w14:paraId="39D0608F">
      <w:pPr>
        <w:spacing w:before="312" w:beforeLines="100" w:after="468" w:afterLines="150" w:line="500" w:lineRule="exact"/>
        <w:jc w:val="center"/>
        <w:rPr>
          <w:rFonts w:ascii="Times New Roman" w:hAnsi="Times New Roman" w:eastAsia="宋体" w:cs="Times New Roman"/>
          <w:b/>
          <w:sz w:val="36"/>
          <w:szCs w:val="21"/>
        </w:rPr>
      </w:pPr>
    </w:p>
    <w:sdt>
      <w:sdtPr>
        <w:rPr>
          <w:rFonts w:ascii="Times New Roman" w:hAnsi="Times New Roman" w:cs="Times New Roman" w:eastAsiaTheme="minorEastAsia"/>
          <w:color w:val="auto"/>
          <w:kern w:val="2"/>
          <w:sz w:val="21"/>
          <w:szCs w:val="22"/>
          <w:lang w:val="zh-CN"/>
        </w:rPr>
        <w:id w:val="-1533261493"/>
        <w:docPartObj>
          <w:docPartGallery w:val="Table of Contents"/>
          <w:docPartUnique/>
        </w:docPartObj>
      </w:sdtPr>
      <w:sdtEndPr>
        <w:rPr>
          <w:rFonts w:ascii="Times New Roman" w:hAnsi="Times New Roman" w:cs="Times New Roman" w:eastAsiaTheme="minorEastAsia"/>
          <w:b/>
          <w:bCs/>
          <w:color w:val="auto"/>
          <w:kern w:val="2"/>
          <w:sz w:val="21"/>
          <w:szCs w:val="22"/>
          <w:lang w:val="zh-CN"/>
        </w:rPr>
      </w:sdtEndPr>
      <w:sdtContent>
        <w:p w14:paraId="248A42C5">
          <w:pPr>
            <w:pStyle w:val="21"/>
            <w:spacing w:before="468" w:beforeLines="150" w:after="468" w:afterLines="150" w:line="240" w:lineRule="auto"/>
            <w:jc w:val="center"/>
            <w:rPr>
              <w:rFonts w:ascii="Times New Roman" w:hAnsi="Times New Roman" w:eastAsia="宋体" w:cs="Times New Roman"/>
              <w:b/>
              <w:color w:val="auto"/>
            </w:rPr>
          </w:pPr>
          <w:r>
            <w:rPr>
              <w:rFonts w:ascii="Times New Roman" w:hAnsi="Times New Roman" w:eastAsia="宋体" w:cs="Times New Roman"/>
              <w:b/>
              <w:color w:val="auto"/>
              <w:lang w:val="zh-CN"/>
            </w:rPr>
            <w:t>材料目录</w:t>
          </w:r>
        </w:p>
        <w:p w14:paraId="2F6C4F6C">
          <w:pPr>
            <w:pStyle w:val="7"/>
            <w:tabs>
              <w:tab w:val="right" w:leader="dot" w:pos="8494"/>
            </w:tabs>
            <w:spacing w:before="156" w:beforeLines="50" w:after="156" w:afterLines="50" w:line="360" w:lineRule="auto"/>
            <w:jc w:val="left"/>
            <w:rPr>
              <w:rFonts w:ascii="宋体" w:hAnsi="宋体" w:eastAsia="宋体"/>
              <w:sz w:val="28"/>
            </w:rPr>
          </w:pPr>
          <w:r>
            <w:rPr>
              <w:rFonts w:ascii="Times New Roman" w:hAnsi="Times New Roman" w:eastAsia="宋体" w:cs="Times New Roman"/>
              <w:sz w:val="20"/>
            </w:rPr>
            <w:fldChar w:fldCharType="begin"/>
          </w:r>
          <w:r>
            <w:rPr>
              <w:rFonts w:ascii="Times New Roman" w:hAnsi="Times New Roman" w:eastAsia="宋体" w:cs="Times New Roman"/>
              <w:sz w:val="20"/>
            </w:rPr>
            <w:instrText xml:space="preserve"> TOC \o "1-1" \h \z \u </w:instrText>
          </w:r>
          <w:r>
            <w:rPr>
              <w:rFonts w:ascii="Times New Roman" w:hAnsi="Times New Roman" w:eastAsia="宋体" w:cs="Times New Roman"/>
              <w:sz w:val="20"/>
            </w:rPr>
            <w:fldChar w:fldCharType="separate"/>
          </w:r>
          <w:r>
            <w:fldChar w:fldCharType="begin"/>
          </w:r>
          <w:r>
            <w:instrText xml:space="preserve"> HYPERLINK \l "_Toc177025205" </w:instrText>
          </w:r>
          <w:r>
            <w:fldChar w:fldCharType="separate"/>
          </w:r>
          <w:r>
            <w:rPr>
              <w:rStyle w:val="13"/>
              <w:rFonts w:hint="eastAsia" w:ascii="宋体" w:hAnsi="宋体" w:eastAsia="宋体" w:cs="Times New Roman"/>
              <w:sz w:val="28"/>
            </w:rPr>
            <w:t>高校教师资格认定申请人教育教学能力测试组织办法</w:t>
          </w:r>
          <w:r>
            <w:rPr>
              <w:rFonts w:ascii="宋体" w:hAnsi="宋体" w:eastAsia="宋体"/>
              <w:sz w:val="28"/>
            </w:rPr>
            <w:tab/>
          </w:r>
          <w:r>
            <w:rPr>
              <w:rFonts w:ascii="宋体" w:hAnsi="宋体" w:eastAsia="宋体"/>
              <w:sz w:val="28"/>
            </w:rPr>
            <w:fldChar w:fldCharType="begin"/>
          </w:r>
          <w:r>
            <w:rPr>
              <w:rFonts w:ascii="宋体" w:hAnsi="宋体" w:eastAsia="宋体"/>
              <w:sz w:val="28"/>
            </w:rPr>
            <w:instrText xml:space="preserve"> PAGEREF _Toc177025205 \h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8"/>
            </w:rPr>
            <w:fldChar w:fldCharType="end"/>
          </w:r>
        </w:p>
        <w:p w14:paraId="692FAE0F">
          <w:pPr>
            <w:pStyle w:val="7"/>
            <w:tabs>
              <w:tab w:val="right" w:leader="dot" w:pos="8494"/>
            </w:tabs>
            <w:spacing w:before="156" w:beforeLines="50" w:after="156" w:afterLines="50" w:line="360" w:lineRule="auto"/>
            <w:jc w:val="left"/>
            <w:rPr>
              <w:rFonts w:ascii="宋体" w:hAnsi="宋体" w:eastAsia="宋体"/>
              <w:sz w:val="28"/>
            </w:rPr>
          </w:pPr>
          <w:r>
            <w:fldChar w:fldCharType="begin"/>
          </w:r>
          <w:r>
            <w:instrText xml:space="preserve"> HYPERLINK \l "_Toc177025206" </w:instrText>
          </w:r>
          <w:r>
            <w:fldChar w:fldCharType="separate"/>
          </w:r>
          <w:r>
            <w:rPr>
              <w:rStyle w:val="13"/>
              <w:rFonts w:hint="eastAsia" w:ascii="宋体" w:hAnsi="宋体" w:eastAsia="宋体" w:cs="Times New Roman"/>
              <w:sz w:val="28"/>
            </w:rPr>
            <w:t>教育教学能力测试《教学方案》（参考模板）</w:t>
          </w:r>
          <w:r>
            <w:rPr>
              <w:rFonts w:ascii="宋体" w:hAnsi="宋体" w:eastAsia="宋体"/>
              <w:sz w:val="28"/>
            </w:rPr>
            <w:tab/>
          </w:r>
          <w:r>
            <w:rPr>
              <w:rFonts w:ascii="宋体" w:hAnsi="宋体" w:eastAsia="宋体"/>
              <w:sz w:val="28"/>
            </w:rPr>
            <w:fldChar w:fldCharType="begin"/>
          </w:r>
          <w:r>
            <w:rPr>
              <w:rFonts w:ascii="宋体" w:hAnsi="宋体" w:eastAsia="宋体"/>
              <w:sz w:val="28"/>
            </w:rPr>
            <w:instrText xml:space="preserve"> PAGEREF _Toc177025206 \h </w:instrText>
          </w:r>
          <w:r>
            <w:rPr>
              <w:rFonts w:ascii="宋体" w:hAnsi="宋体" w:eastAsia="宋体"/>
              <w:sz w:val="28"/>
            </w:rPr>
            <w:fldChar w:fldCharType="separate"/>
          </w:r>
          <w:r>
            <w:rPr>
              <w:rFonts w:ascii="宋体" w:hAnsi="宋体" w:eastAsia="宋体"/>
              <w:sz w:val="28"/>
            </w:rPr>
            <w:t>3</w:t>
          </w:r>
          <w:r>
            <w:rPr>
              <w:rFonts w:ascii="宋体" w:hAnsi="宋体" w:eastAsia="宋体"/>
              <w:sz w:val="28"/>
            </w:rPr>
            <w:fldChar w:fldCharType="end"/>
          </w:r>
          <w:r>
            <w:rPr>
              <w:rFonts w:ascii="宋体" w:hAnsi="宋体" w:eastAsia="宋体"/>
              <w:sz w:val="28"/>
            </w:rPr>
            <w:fldChar w:fldCharType="end"/>
          </w:r>
        </w:p>
        <w:p w14:paraId="65356EC2">
          <w:pPr>
            <w:pStyle w:val="7"/>
            <w:tabs>
              <w:tab w:val="right" w:leader="dot" w:pos="8494"/>
            </w:tabs>
            <w:spacing w:before="156" w:beforeLines="50" w:after="156" w:afterLines="50" w:line="360" w:lineRule="auto"/>
            <w:jc w:val="left"/>
            <w:rPr>
              <w:rFonts w:ascii="宋体" w:hAnsi="宋体" w:eastAsia="宋体"/>
              <w:sz w:val="28"/>
            </w:rPr>
          </w:pPr>
          <w:r>
            <w:fldChar w:fldCharType="begin"/>
          </w:r>
          <w:r>
            <w:instrText xml:space="preserve"> HYPERLINK \l "_Toc177025207" </w:instrText>
          </w:r>
          <w:r>
            <w:fldChar w:fldCharType="separate"/>
          </w:r>
          <w:r>
            <w:rPr>
              <w:rStyle w:val="13"/>
              <w:rFonts w:ascii="宋体" w:hAnsi="宋体" w:eastAsia="宋体"/>
              <w:sz w:val="28"/>
            </w:rPr>
            <w:t>北京师范大学202</w:t>
          </w:r>
          <w:r>
            <w:rPr>
              <w:rStyle w:val="13"/>
              <w:rFonts w:hint="eastAsia" w:ascii="宋体" w:hAnsi="宋体" w:eastAsia="宋体"/>
              <w:sz w:val="28"/>
              <w:lang w:val="en-US" w:eastAsia="zh-CN"/>
            </w:rPr>
            <w:t>5</w:t>
          </w:r>
          <w:r>
            <w:rPr>
              <w:rStyle w:val="13"/>
              <w:rFonts w:ascii="宋体" w:hAnsi="宋体" w:eastAsia="宋体"/>
              <w:sz w:val="28"/>
            </w:rPr>
            <w:t>年高等学校教师资格教育教学能力测试专家审查委员会专业评议组评议结果</w:t>
          </w:r>
          <w:r>
            <w:rPr>
              <w:rStyle w:val="13"/>
              <w:rFonts w:hint="eastAsia" w:ascii="宋体" w:hAnsi="宋体" w:eastAsia="宋体"/>
              <w:sz w:val="28"/>
            </w:rPr>
            <w:t>（院系填写）</w:t>
          </w:r>
          <w:r>
            <w:rPr>
              <w:rFonts w:ascii="宋体" w:hAnsi="宋体" w:eastAsia="宋体"/>
              <w:sz w:val="28"/>
            </w:rPr>
            <w:tab/>
          </w:r>
          <w:r>
            <w:rPr>
              <w:rFonts w:ascii="宋体" w:hAnsi="宋体" w:eastAsia="宋体"/>
              <w:sz w:val="28"/>
            </w:rPr>
            <w:fldChar w:fldCharType="begin"/>
          </w:r>
          <w:r>
            <w:rPr>
              <w:rFonts w:ascii="宋体" w:hAnsi="宋体" w:eastAsia="宋体"/>
              <w:sz w:val="28"/>
            </w:rPr>
            <w:instrText xml:space="preserve"> PAGEREF _Toc177025207 \h </w:instrText>
          </w:r>
          <w:r>
            <w:rPr>
              <w:rFonts w:ascii="宋体" w:hAnsi="宋体" w:eastAsia="宋体"/>
              <w:sz w:val="28"/>
            </w:rPr>
            <w:fldChar w:fldCharType="separate"/>
          </w:r>
          <w:r>
            <w:rPr>
              <w:rFonts w:ascii="宋体" w:hAnsi="宋体" w:eastAsia="宋体"/>
              <w:sz w:val="28"/>
            </w:rPr>
            <w:t>5</w:t>
          </w:r>
          <w:r>
            <w:rPr>
              <w:rFonts w:ascii="宋体" w:hAnsi="宋体" w:eastAsia="宋体"/>
              <w:sz w:val="28"/>
            </w:rPr>
            <w:fldChar w:fldCharType="end"/>
          </w:r>
          <w:r>
            <w:rPr>
              <w:rFonts w:ascii="宋体" w:hAnsi="宋体" w:eastAsia="宋体"/>
              <w:sz w:val="28"/>
            </w:rPr>
            <w:fldChar w:fldCharType="end"/>
          </w:r>
        </w:p>
        <w:p w14:paraId="4DE6E53D">
          <w:pPr>
            <w:pStyle w:val="7"/>
            <w:tabs>
              <w:tab w:val="right" w:leader="dot" w:pos="8494"/>
            </w:tabs>
            <w:spacing w:before="156" w:beforeLines="50" w:after="156" w:afterLines="50" w:line="360" w:lineRule="auto"/>
            <w:jc w:val="left"/>
            <w:rPr>
              <w:sz w:val="22"/>
            </w:rPr>
          </w:pPr>
          <w:r>
            <w:fldChar w:fldCharType="begin"/>
          </w:r>
          <w:r>
            <w:instrText xml:space="preserve"> HYPERLINK \l "_Toc177025208" </w:instrText>
          </w:r>
          <w:r>
            <w:fldChar w:fldCharType="separate"/>
          </w:r>
          <w:r>
            <w:rPr>
              <w:rStyle w:val="13"/>
              <w:rFonts w:hint="eastAsia" w:ascii="宋体" w:hAnsi="宋体" w:eastAsia="宋体" w:cs="Times New Roman"/>
              <w:kern w:val="0"/>
              <w:sz w:val="28"/>
            </w:rPr>
            <w:t>北京市教师资格教育教学能力测试标准及办法（节选）</w:t>
          </w:r>
          <w:r>
            <w:rPr>
              <w:rFonts w:ascii="宋体" w:hAnsi="宋体" w:eastAsia="宋体"/>
              <w:sz w:val="28"/>
            </w:rPr>
            <w:tab/>
          </w:r>
          <w:r>
            <w:rPr>
              <w:rFonts w:ascii="宋体" w:hAnsi="宋体" w:eastAsia="宋体"/>
              <w:sz w:val="28"/>
            </w:rPr>
            <w:fldChar w:fldCharType="begin"/>
          </w:r>
          <w:r>
            <w:rPr>
              <w:rFonts w:ascii="宋体" w:hAnsi="宋体" w:eastAsia="宋体"/>
              <w:sz w:val="28"/>
            </w:rPr>
            <w:instrText xml:space="preserve"> PAGEREF _Toc177025208 \h </w:instrText>
          </w:r>
          <w:r>
            <w:rPr>
              <w:rFonts w:ascii="宋体" w:hAnsi="宋体" w:eastAsia="宋体"/>
              <w:sz w:val="28"/>
            </w:rPr>
            <w:fldChar w:fldCharType="separate"/>
          </w:r>
          <w:r>
            <w:rPr>
              <w:rFonts w:ascii="宋体" w:hAnsi="宋体" w:eastAsia="宋体"/>
              <w:sz w:val="28"/>
            </w:rPr>
            <w:t>6</w:t>
          </w:r>
          <w:r>
            <w:rPr>
              <w:rFonts w:ascii="宋体" w:hAnsi="宋体" w:eastAsia="宋体"/>
              <w:sz w:val="28"/>
            </w:rPr>
            <w:fldChar w:fldCharType="end"/>
          </w:r>
          <w:r>
            <w:rPr>
              <w:rFonts w:ascii="宋体" w:hAnsi="宋体" w:eastAsia="宋体"/>
              <w:sz w:val="28"/>
            </w:rPr>
            <w:fldChar w:fldCharType="end"/>
          </w:r>
        </w:p>
        <w:p w14:paraId="67303510">
          <w:pPr>
            <w:spacing w:before="468" w:beforeLines="150" w:after="468" w:afterLines="150"/>
            <w:rPr>
              <w:rFonts w:ascii="Times New Roman" w:hAnsi="Times New Roman" w:cs="Times New Roman"/>
            </w:rPr>
          </w:pPr>
          <w:r>
            <w:rPr>
              <w:rFonts w:ascii="Times New Roman" w:hAnsi="Times New Roman" w:eastAsia="宋体" w:cs="Times New Roman"/>
              <w:sz w:val="20"/>
            </w:rPr>
            <w:fldChar w:fldCharType="end"/>
          </w:r>
        </w:p>
      </w:sdtContent>
    </w:sdt>
    <w:p w14:paraId="16370806">
      <w:pPr>
        <w:spacing w:before="312" w:beforeLines="100" w:after="468" w:afterLines="150" w:line="500" w:lineRule="exact"/>
        <w:jc w:val="center"/>
        <w:rPr>
          <w:rFonts w:ascii="Times New Roman" w:hAnsi="Times New Roman" w:eastAsia="宋体" w:cs="Times New Roman"/>
          <w:b/>
          <w:sz w:val="36"/>
          <w:szCs w:val="21"/>
        </w:rPr>
        <w:sectPr>
          <w:pgSz w:w="11906" w:h="16838"/>
          <w:pgMar w:top="1440" w:right="1701" w:bottom="1440" w:left="1701" w:header="851" w:footer="992" w:gutter="0"/>
          <w:cols w:space="425" w:num="1"/>
          <w:docGrid w:type="lines" w:linePitch="312" w:charSpace="0"/>
        </w:sectPr>
      </w:pPr>
      <w:bookmarkStart w:id="4" w:name="_GoBack"/>
      <w:bookmarkEnd w:id="4"/>
    </w:p>
    <w:p w14:paraId="0B78F02E">
      <w:pPr>
        <w:pStyle w:val="2"/>
        <w:spacing w:before="240" w:after="240" w:line="240" w:lineRule="auto"/>
        <w:jc w:val="center"/>
        <w:rPr>
          <w:rFonts w:ascii="Times New Roman" w:hAnsi="Times New Roman" w:eastAsia="宋体" w:cs="Times New Roman"/>
          <w:b w:val="0"/>
          <w:sz w:val="36"/>
          <w:szCs w:val="21"/>
        </w:rPr>
      </w:pPr>
      <w:bookmarkStart w:id="0" w:name="_Toc177025205"/>
      <w:r>
        <w:rPr>
          <w:rFonts w:ascii="Times New Roman" w:hAnsi="Times New Roman" w:eastAsia="宋体" w:cs="Times New Roman"/>
          <w:sz w:val="36"/>
          <w:szCs w:val="21"/>
        </w:rPr>
        <w:t>高校教师资格认定申请人教育教学能力测试组织办法</w:t>
      </w:r>
      <w:bookmarkEnd w:id="0"/>
    </w:p>
    <w:p w14:paraId="39A2C33E">
      <w:pPr>
        <w:spacing w:after="156" w:afterLines="50" w:line="500" w:lineRule="exact"/>
        <w:ind w:firstLine="560" w:firstLineChars="200"/>
        <w:rPr>
          <w:rFonts w:ascii="仿宋" w:hAnsi="仿宋" w:eastAsia="仿宋" w:cs="Times New Roman"/>
          <w:sz w:val="28"/>
          <w:szCs w:val="21"/>
        </w:rPr>
      </w:pPr>
      <w:r>
        <w:rPr>
          <w:rFonts w:ascii="仿宋" w:hAnsi="仿宋" w:eastAsia="仿宋" w:cs="Times New Roman"/>
          <w:sz w:val="28"/>
          <w:szCs w:val="21"/>
        </w:rPr>
        <w:t>一、申请认定高等学校教师资格人员，若为副教授或副研究员以下职称且不具有博士学位，则须通过教育教学能力测试，方可申请认定高等学校教师资格。</w:t>
      </w:r>
    </w:p>
    <w:p w14:paraId="3428F3A5">
      <w:pPr>
        <w:spacing w:after="156" w:afterLines="50" w:line="500" w:lineRule="exact"/>
        <w:ind w:firstLine="560" w:firstLineChars="200"/>
        <w:rPr>
          <w:rFonts w:ascii="仿宋" w:hAnsi="仿宋" w:eastAsia="仿宋" w:cs="Times New Roman"/>
          <w:kern w:val="0"/>
          <w:sz w:val="28"/>
          <w:szCs w:val="21"/>
        </w:rPr>
      </w:pPr>
      <w:r>
        <w:rPr>
          <w:rFonts w:ascii="仿宋" w:hAnsi="仿宋" w:eastAsia="仿宋" w:cs="Times New Roman"/>
          <w:sz w:val="28"/>
          <w:szCs w:val="21"/>
        </w:rPr>
        <w:t>二、各</w:t>
      </w:r>
      <w:r>
        <w:rPr>
          <w:rFonts w:hint="eastAsia" w:ascii="仿宋" w:hAnsi="仿宋" w:eastAsia="仿宋" w:cs="Times New Roman"/>
          <w:sz w:val="28"/>
          <w:szCs w:val="21"/>
        </w:rPr>
        <w:t>二级</w:t>
      </w:r>
      <w:r>
        <w:rPr>
          <w:rFonts w:ascii="仿宋" w:hAnsi="仿宋" w:eastAsia="仿宋" w:cs="Times New Roman"/>
          <w:sz w:val="28"/>
          <w:szCs w:val="21"/>
        </w:rPr>
        <w:t>单位需</w:t>
      </w:r>
      <w:r>
        <w:rPr>
          <w:rFonts w:ascii="仿宋" w:hAnsi="仿宋" w:eastAsia="仿宋" w:cs="Times New Roman"/>
          <w:kern w:val="0"/>
          <w:sz w:val="28"/>
          <w:szCs w:val="21"/>
        </w:rPr>
        <w:t>成立学科（专业）评议组，通过组织面试（答辩）、试讲等形式，考察申请人的教育教学基本素质和能力，并提出评议意见。</w:t>
      </w:r>
    </w:p>
    <w:p w14:paraId="2217DDC8">
      <w:pPr>
        <w:spacing w:after="156" w:afterLines="50" w:line="500" w:lineRule="exact"/>
        <w:ind w:firstLine="560" w:firstLineChars="200"/>
        <w:rPr>
          <w:rFonts w:ascii="仿宋" w:hAnsi="仿宋" w:eastAsia="仿宋" w:cs="Times New Roman"/>
          <w:kern w:val="0"/>
          <w:sz w:val="28"/>
          <w:szCs w:val="21"/>
        </w:rPr>
      </w:pPr>
      <w:r>
        <w:rPr>
          <w:rFonts w:ascii="仿宋" w:hAnsi="仿宋" w:eastAsia="仿宋" w:cs="Times New Roman"/>
          <w:kern w:val="0"/>
          <w:sz w:val="28"/>
          <w:szCs w:val="21"/>
        </w:rPr>
        <w:t>三、学科（专业）评议组由三至五人组成，设组长一人。组长建议由单位主管教学工作负责人或教学指导委员会主任担任，组员需具有高级职称。评议组主要通过面试、试讲、答辩等方式，对申请人的教育教学基本素质和能力进行考察。考察结果必须经评议组无记名投票表决并达到全体成员半数以上同意后，方可提交至学校。</w:t>
      </w:r>
    </w:p>
    <w:p w14:paraId="08A3F729">
      <w:pPr>
        <w:spacing w:after="156" w:afterLines="50" w:line="500" w:lineRule="exact"/>
        <w:ind w:firstLine="560" w:firstLineChars="200"/>
        <w:rPr>
          <w:rFonts w:ascii="仿宋" w:hAnsi="仿宋" w:eastAsia="仿宋" w:cs="Times New Roman"/>
          <w:kern w:val="0"/>
          <w:sz w:val="28"/>
          <w:szCs w:val="21"/>
        </w:rPr>
      </w:pPr>
      <w:r>
        <w:rPr>
          <w:rFonts w:ascii="仿宋" w:hAnsi="仿宋" w:eastAsia="仿宋" w:cs="Times New Roman"/>
          <w:kern w:val="0"/>
          <w:sz w:val="28"/>
          <w:szCs w:val="21"/>
        </w:rPr>
        <w:t>四、教育教学能力测试标准可参见《北京市教师资格教育教学能力测试标准及办法（节选）》。</w:t>
      </w:r>
    </w:p>
    <w:p w14:paraId="51AE9CEA">
      <w:pPr>
        <w:spacing w:after="156" w:afterLines="50" w:line="500" w:lineRule="exact"/>
        <w:ind w:firstLine="560" w:firstLineChars="200"/>
        <w:rPr>
          <w:rFonts w:ascii="仿宋" w:hAnsi="仿宋" w:eastAsia="仿宋" w:cs="Times New Roman"/>
          <w:kern w:val="0"/>
          <w:sz w:val="28"/>
          <w:szCs w:val="21"/>
        </w:rPr>
      </w:pPr>
      <w:r>
        <w:rPr>
          <w:rFonts w:ascii="仿宋" w:hAnsi="仿宋" w:eastAsia="仿宋" w:cs="Times New Roman"/>
          <w:kern w:val="0"/>
          <w:sz w:val="28"/>
          <w:szCs w:val="21"/>
        </w:rPr>
        <w:t>五、</w:t>
      </w:r>
      <w:r>
        <w:rPr>
          <w:rFonts w:hint="eastAsia" w:ascii="仿宋" w:hAnsi="仿宋" w:eastAsia="仿宋" w:cs="Times New Roman"/>
          <w:sz w:val="28"/>
          <w:szCs w:val="21"/>
        </w:rPr>
        <w:t>二级</w:t>
      </w:r>
      <w:r>
        <w:rPr>
          <w:rFonts w:ascii="仿宋" w:hAnsi="仿宋" w:eastAsia="仿宋" w:cs="Times New Roman"/>
          <w:sz w:val="28"/>
          <w:szCs w:val="21"/>
        </w:rPr>
        <w:t>单位完成对申请人的</w:t>
      </w:r>
      <w:r>
        <w:rPr>
          <w:rFonts w:ascii="仿宋" w:hAnsi="仿宋" w:eastAsia="仿宋" w:cs="Times New Roman"/>
          <w:kern w:val="0"/>
          <w:sz w:val="28"/>
          <w:szCs w:val="21"/>
        </w:rPr>
        <w:t>教育教学能力测试后</w:t>
      </w:r>
      <w:r>
        <w:rPr>
          <w:rFonts w:ascii="仿宋" w:hAnsi="仿宋" w:eastAsia="仿宋" w:cs="Times New Roman"/>
          <w:sz w:val="28"/>
          <w:szCs w:val="21"/>
        </w:rPr>
        <w:t>，请填写并提交《</w:t>
      </w:r>
      <w:r>
        <w:rPr>
          <w:rFonts w:ascii="仿宋" w:hAnsi="仿宋" w:eastAsia="仿宋" w:cs="Times New Roman"/>
          <w:kern w:val="0"/>
          <w:sz w:val="28"/>
          <w:szCs w:val="21"/>
        </w:rPr>
        <w:t>北京师范大学202</w:t>
      </w:r>
      <w:r>
        <w:rPr>
          <w:rFonts w:hint="eastAsia" w:ascii="仿宋" w:hAnsi="仿宋" w:eastAsia="仿宋" w:cs="Times New Roman"/>
          <w:kern w:val="0"/>
          <w:sz w:val="28"/>
          <w:szCs w:val="21"/>
          <w:lang w:val="en-US" w:eastAsia="zh-CN"/>
        </w:rPr>
        <w:t>5</w:t>
      </w:r>
      <w:r>
        <w:rPr>
          <w:rFonts w:ascii="仿宋" w:hAnsi="仿宋" w:eastAsia="仿宋" w:cs="Times New Roman"/>
          <w:kern w:val="0"/>
          <w:sz w:val="28"/>
          <w:szCs w:val="21"/>
        </w:rPr>
        <w:t>年高等学校教师资格教育教学能力测试</w:t>
      </w:r>
      <w:r>
        <w:rPr>
          <w:rFonts w:hint="eastAsia" w:ascii="仿宋" w:hAnsi="仿宋" w:eastAsia="仿宋" w:cs="Times New Roman"/>
          <w:kern w:val="0"/>
          <w:sz w:val="28"/>
          <w:szCs w:val="21"/>
        </w:rPr>
        <w:t>专家审查委员会专业评议组评议结果</w:t>
      </w:r>
      <w:r>
        <w:rPr>
          <w:rFonts w:ascii="仿宋" w:hAnsi="仿宋" w:eastAsia="仿宋" w:cs="Times New Roman"/>
          <w:kern w:val="0"/>
          <w:sz w:val="28"/>
          <w:szCs w:val="21"/>
        </w:rPr>
        <w:t>》，</w:t>
      </w:r>
      <w:r>
        <w:rPr>
          <w:rFonts w:ascii="仿宋" w:hAnsi="仿宋" w:eastAsia="仿宋" w:cs="Times New Roman"/>
          <w:b/>
          <w:kern w:val="0"/>
          <w:sz w:val="28"/>
          <w:szCs w:val="21"/>
        </w:rPr>
        <w:t>须有</w:t>
      </w:r>
      <w:r>
        <w:rPr>
          <w:rFonts w:hint="eastAsia" w:ascii="仿宋" w:hAnsi="仿宋" w:eastAsia="仿宋" w:cs="Times New Roman"/>
          <w:b/>
          <w:kern w:val="0"/>
          <w:sz w:val="28"/>
          <w:szCs w:val="21"/>
        </w:rPr>
        <w:t>评议组组长</w:t>
      </w:r>
      <w:r>
        <w:rPr>
          <w:rFonts w:hint="eastAsia" w:ascii="仿宋" w:hAnsi="仿宋" w:eastAsia="仿宋" w:cs="Times New Roman"/>
          <w:b/>
          <w:kern w:val="0"/>
          <w:sz w:val="28"/>
          <w:szCs w:val="21"/>
          <w:lang w:val="en-US" w:eastAsia="zh-CN"/>
        </w:rPr>
        <w:t>手写</w:t>
      </w:r>
      <w:r>
        <w:rPr>
          <w:rFonts w:ascii="仿宋" w:hAnsi="仿宋" w:eastAsia="仿宋" w:cs="Times New Roman"/>
          <w:b/>
          <w:kern w:val="0"/>
          <w:sz w:val="28"/>
          <w:szCs w:val="21"/>
        </w:rPr>
        <w:t>签字</w:t>
      </w:r>
      <w:r>
        <w:rPr>
          <w:rFonts w:hint="eastAsia" w:ascii="仿宋" w:hAnsi="仿宋" w:eastAsia="仿宋" w:cs="Times New Roman"/>
          <w:b/>
          <w:kern w:val="0"/>
          <w:sz w:val="28"/>
          <w:szCs w:val="21"/>
        </w:rPr>
        <w:t>和学院</w:t>
      </w:r>
      <w:r>
        <w:rPr>
          <w:rFonts w:ascii="仿宋" w:hAnsi="仿宋" w:eastAsia="仿宋" w:cs="Times New Roman"/>
          <w:b/>
          <w:kern w:val="0"/>
          <w:sz w:val="28"/>
          <w:szCs w:val="21"/>
        </w:rPr>
        <w:t>公章</w:t>
      </w:r>
      <w:r>
        <w:rPr>
          <w:rFonts w:hint="eastAsia" w:ascii="仿宋" w:hAnsi="仿宋" w:eastAsia="仿宋" w:cs="Times New Roman"/>
          <w:kern w:val="0"/>
          <w:sz w:val="28"/>
          <w:szCs w:val="21"/>
        </w:rPr>
        <w:t>，多页应加盖骑缝章，其中“申请学科”和“报名号”两项信息由申请人提供，应与网上报名信息完全一致（在测试前可以联系教工部核对信息）。</w:t>
      </w:r>
      <w:r>
        <w:rPr>
          <w:rFonts w:ascii="仿宋" w:hAnsi="仿宋" w:eastAsia="仿宋" w:cs="Times New Roman"/>
          <w:kern w:val="0"/>
          <w:sz w:val="28"/>
          <w:szCs w:val="21"/>
        </w:rPr>
        <w:t>《评议结果》纸质材料请交至英东学术会堂302办公室。</w:t>
      </w:r>
    </w:p>
    <w:p w14:paraId="154D8789">
      <w:pPr>
        <w:spacing w:after="156" w:afterLines="50" w:line="500" w:lineRule="exact"/>
        <w:ind w:firstLine="560" w:firstLineChars="200"/>
        <w:rPr>
          <w:rFonts w:ascii="仿宋" w:hAnsi="仿宋" w:eastAsia="仿宋" w:cs="Times New Roman"/>
          <w:kern w:val="0"/>
          <w:sz w:val="28"/>
          <w:szCs w:val="21"/>
        </w:rPr>
      </w:pPr>
      <w:r>
        <w:rPr>
          <w:rFonts w:hint="eastAsia" w:ascii="仿宋" w:hAnsi="仿宋" w:eastAsia="仿宋" w:cs="Times New Roman"/>
          <w:kern w:val="0"/>
          <w:sz w:val="28"/>
          <w:szCs w:val="21"/>
        </w:rPr>
        <w:t>六、</w:t>
      </w:r>
      <w:r>
        <w:rPr>
          <w:rFonts w:hint="eastAsia" w:ascii="仿宋" w:hAnsi="仿宋" w:eastAsia="仿宋" w:cs="Times New Roman"/>
          <w:sz w:val="28"/>
          <w:szCs w:val="21"/>
        </w:rPr>
        <w:t>二级</w:t>
      </w:r>
      <w:r>
        <w:rPr>
          <w:rFonts w:ascii="仿宋" w:hAnsi="仿宋" w:eastAsia="仿宋" w:cs="Times New Roman"/>
          <w:kern w:val="0"/>
          <w:sz w:val="28"/>
          <w:szCs w:val="28"/>
        </w:rPr>
        <w:t>单位应汇总和提交申请人的</w:t>
      </w:r>
      <w:r>
        <w:rPr>
          <w:rFonts w:ascii="仿宋" w:hAnsi="仿宋" w:eastAsia="仿宋" w:cs="Times New Roman"/>
          <w:b/>
          <w:kern w:val="0"/>
          <w:sz w:val="28"/>
          <w:szCs w:val="28"/>
        </w:rPr>
        <w:t>教案</w:t>
      </w:r>
      <w:r>
        <w:rPr>
          <w:rFonts w:ascii="仿宋" w:hAnsi="仿宋" w:eastAsia="仿宋" w:cs="Times New Roman"/>
          <w:kern w:val="0"/>
          <w:sz w:val="28"/>
          <w:szCs w:val="28"/>
        </w:rPr>
        <w:t>（应当表述清晰、结构完整，参考模板见下文附表）、</w:t>
      </w:r>
      <w:r>
        <w:rPr>
          <w:rFonts w:ascii="仿宋" w:hAnsi="仿宋" w:eastAsia="仿宋" w:cs="Times New Roman"/>
          <w:b/>
          <w:kern w:val="0"/>
          <w:sz w:val="28"/>
          <w:szCs w:val="28"/>
        </w:rPr>
        <w:t>教学视频</w:t>
      </w:r>
      <w:r>
        <w:rPr>
          <w:rFonts w:ascii="仿宋" w:hAnsi="仿宋" w:eastAsia="仿宋" w:cs="Times New Roman"/>
          <w:kern w:val="0"/>
          <w:sz w:val="28"/>
          <w:szCs w:val="28"/>
        </w:rPr>
        <w:t>（申请人应当出现在视频中，时长至少10分钟，文件小于500MB；申请人若已正式开课，教学视频应录制实际授课情况）等教育教学能力测试过程材料。教案、教学视频等电子材料，</w:t>
      </w:r>
      <w:r>
        <w:rPr>
          <w:rFonts w:ascii="仿宋" w:hAnsi="仿宋" w:eastAsia="仿宋" w:cs="Times New Roman"/>
          <w:sz w:val="28"/>
          <w:szCs w:val="28"/>
        </w:rPr>
        <w:t>请发至邮箱jsfz@bnu.edu.cn</w:t>
      </w:r>
      <w:r>
        <w:rPr>
          <w:rFonts w:ascii="仿宋" w:hAnsi="仿宋" w:eastAsia="仿宋" w:cs="Times New Roman"/>
          <w:kern w:val="0"/>
          <w:sz w:val="28"/>
          <w:szCs w:val="28"/>
        </w:rPr>
        <w:t>。</w:t>
      </w:r>
    </w:p>
    <w:p w14:paraId="034B88BC">
      <w:pPr>
        <w:jc w:val="center"/>
        <w:rPr>
          <w:rFonts w:ascii="Times New Roman" w:hAnsi="Times New Roman" w:eastAsia="宋体" w:cs="Times New Roman"/>
          <w:b/>
          <w:sz w:val="28"/>
        </w:rPr>
      </w:pPr>
      <w:r>
        <w:rPr>
          <w:rFonts w:ascii="Times New Roman" w:hAnsi="Times New Roman" w:eastAsia="宋体" w:cs="Times New Roman"/>
          <w:b/>
          <w:sz w:val="28"/>
        </w:rPr>
        <w:br w:type="page"/>
      </w:r>
    </w:p>
    <w:p w14:paraId="7864EC28">
      <w:pPr>
        <w:pStyle w:val="2"/>
        <w:spacing w:before="240" w:after="240" w:line="240" w:lineRule="auto"/>
        <w:jc w:val="center"/>
        <w:rPr>
          <w:rFonts w:ascii="Times New Roman" w:hAnsi="Times New Roman" w:eastAsia="宋体" w:cs="Times New Roman"/>
          <w:b w:val="0"/>
          <w:sz w:val="36"/>
        </w:rPr>
      </w:pPr>
      <w:bookmarkStart w:id="1" w:name="_Toc177025206"/>
      <w:r>
        <w:rPr>
          <w:rFonts w:ascii="Times New Roman" w:hAnsi="Times New Roman" w:eastAsia="宋体" w:cs="Times New Roman"/>
          <w:sz w:val="36"/>
        </w:rPr>
        <w:t>教育教学能力测试《教学方案》（参考模板）</w:t>
      </w:r>
      <w:bookmarkEnd w:id="1"/>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1560"/>
        <w:gridCol w:w="2268"/>
        <w:gridCol w:w="1984"/>
        <w:gridCol w:w="1922"/>
      </w:tblGrid>
      <w:tr w14:paraId="12C3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62" w:type="dxa"/>
            <w:vMerge w:val="restart"/>
            <w:vAlign w:val="center"/>
          </w:tcPr>
          <w:p w14:paraId="52C4A84D">
            <w:pPr>
              <w:jc w:val="center"/>
              <w:rPr>
                <w:rFonts w:ascii="Times New Roman" w:hAnsi="Times New Roman" w:eastAsia="宋体" w:cs="Times New Roman"/>
                <w:b/>
                <w:sz w:val="24"/>
                <w:szCs w:val="24"/>
              </w:rPr>
            </w:pPr>
            <w:r>
              <w:rPr>
                <w:rFonts w:ascii="Times New Roman" w:hAnsi="Times New Roman" w:eastAsia="宋体" w:cs="Times New Roman"/>
                <w:b/>
                <w:sz w:val="24"/>
                <w:szCs w:val="24"/>
              </w:rPr>
              <w:t>课程信息</w:t>
            </w:r>
          </w:p>
        </w:tc>
        <w:tc>
          <w:tcPr>
            <w:tcW w:w="1560" w:type="dxa"/>
            <w:vAlign w:val="center"/>
          </w:tcPr>
          <w:p w14:paraId="5D796FDB">
            <w:pPr>
              <w:jc w:val="center"/>
              <w:rPr>
                <w:rFonts w:ascii="Times New Roman" w:hAnsi="Times New Roman" w:eastAsia="宋体" w:cs="Times New Roman"/>
                <w:b/>
                <w:sz w:val="24"/>
                <w:szCs w:val="24"/>
              </w:rPr>
            </w:pPr>
            <w:r>
              <w:rPr>
                <w:rFonts w:ascii="Times New Roman" w:hAnsi="Times New Roman" w:eastAsia="宋体" w:cs="Times New Roman"/>
                <w:b/>
                <w:sz w:val="24"/>
                <w:szCs w:val="24"/>
              </w:rPr>
              <w:t>课程名称</w:t>
            </w:r>
          </w:p>
        </w:tc>
        <w:tc>
          <w:tcPr>
            <w:tcW w:w="2268" w:type="dxa"/>
            <w:vAlign w:val="center"/>
          </w:tcPr>
          <w:p w14:paraId="16C51541">
            <w:pPr>
              <w:rPr>
                <w:rFonts w:ascii="Times New Roman" w:hAnsi="Times New Roman" w:eastAsia="宋体" w:cs="Times New Roman"/>
                <w:sz w:val="24"/>
                <w:szCs w:val="24"/>
              </w:rPr>
            </w:pPr>
          </w:p>
        </w:tc>
        <w:tc>
          <w:tcPr>
            <w:tcW w:w="1984" w:type="dxa"/>
            <w:vAlign w:val="center"/>
          </w:tcPr>
          <w:p w14:paraId="21CD1949">
            <w:pPr>
              <w:jc w:val="center"/>
              <w:rPr>
                <w:rFonts w:ascii="Times New Roman" w:hAnsi="Times New Roman" w:eastAsia="宋体" w:cs="Times New Roman"/>
                <w:b/>
                <w:sz w:val="24"/>
                <w:szCs w:val="24"/>
              </w:rPr>
            </w:pPr>
            <w:r>
              <w:rPr>
                <w:rFonts w:ascii="Times New Roman" w:hAnsi="Times New Roman" w:eastAsia="宋体" w:cs="Times New Roman"/>
                <w:b/>
                <w:sz w:val="24"/>
                <w:szCs w:val="24"/>
              </w:rPr>
              <w:t>课程类型</w:t>
            </w:r>
          </w:p>
        </w:tc>
        <w:tc>
          <w:tcPr>
            <w:tcW w:w="1922" w:type="dxa"/>
            <w:vAlign w:val="center"/>
          </w:tcPr>
          <w:p w14:paraId="544FC19C">
            <w:pPr>
              <w:jc w:val="center"/>
              <w:rPr>
                <w:rFonts w:ascii="Times New Roman" w:hAnsi="Times New Roman" w:eastAsia="宋体" w:cs="Times New Roman"/>
                <w:sz w:val="24"/>
                <w:szCs w:val="24"/>
              </w:rPr>
            </w:pPr>
          </w:p>
        </w:tc>
      </w:tr>
      <w:tr w14:paraId="70680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62" w:type="dxa"/>
            <w:vMerge w:val="continue"/>
          </w:tcPr>
          <w:p w14:paraId="6EE3A183">
            <w:pPr>
              <w:jc w:val="center"/>
              <w:rPr>
                <w:rFonts w:ascii="Times New Roman" w:hAnsi="Times New Roman" w:eastAsia="宋体" w:cs="Times New Roman"/>
                <w:sz w:val="24"/>
                <w:szCs w:val="24"/>
              </w:rPr>
            </w:pPr>
          </w:p>
        </w:tc>
        <w:tc>
          <w:tcPr>
            <w:tcW w:w="1560" w:type="dxa"/>
            <w:vAlign w:val="center"/>
          </w:tcPr>
          <w:p w14:paraId="2DB817E6">
            <w:pPr>
              <w:jc w:val="center"/>
              <w:rPr>
                <w:rFonts w:ascii="Times New Roman" w:hAnsi="Times New Roman" w:eastAsia="宋体" w:cs="Times New Roman"/>
                <w:b/>
                <w:sz w:val="24"/>
                <w:szCs w:val="24"/>
              </w:rPr>
            </w:pPr>
            <w:r>
              <w:rPr>
                <w:rFonts w:ascii="Times New Roman" w:hAnsi="Times New Roman" w:eastAsia="宋体" w:cs="Times New Roman"/>
                <w:b/>
                <w:sz w:val="24"/>
                <w:szCs w:val="24"/>
              </w:rPr>
              <w:t>教学对象</w:t>
            </w:r>
          </w:p>
        </w:tc>
        <w:tc>
          <w:tcPr>
            <w:tcW w:w="2268" w:type="dxa"/>
            <w:vAlign w:val="center"/>
          </w:tcPr>
          <w:p w14:paraId="0A79AF65">
            <w:pPr>
              <w:jc w:val="center"/>
              <w:rPr>
                <w:rFonts w:ascii="Times New Roman" w:hAnsi="Times New Roman" w:eastAsia="宋体" w:cs="Times New Roman"/>
                <w:sz w:val="24"/>
                <w:szCs w:val="24"/>
              </w:rPr>
            </w:pPr>
          </w:p>
        </w:tc>
        <w:tc>
          <w:tcPr>
            <w:tcW w:w="1984" w:type="dxa"/>
            <w:vAlign w:val="center"/>
          </w:tcPr>
          <w:p w14:paraId="794A6B30">
            <w:pPr>
              <w:jc w:val="center"/>
              <w:rPr>
                <w:rFonts w:ascii="Times New Roman" w:hAnsi="Times New Roman" w:eastAsia="宋体" w:cs="Times New Roman"/>
                <w:b/>
                <w:sz w:val="24"/>
                <w:szCs w:val="24"/>
              </w:rPr>
            </w:pPr>
            <w:r>
              <w:rPr>
                <w:rFonts w:ascii="Times New Roman" w:hAnsi="Times New Roman" w:eastAsia="宋体" w:cs="Times New Roman"/>
                <w:b/>
                <w:sz w:val="24"/>
                <w:szCs w:val="24"/>
              </w:rPr>
              <w:t>学生人数</w:t>
            </w:r>
          </w:p>
        </w:tc>
        <w:tc>
          <w:tcPr>
            <w:tcW w:w="1922" w:type="dxa"/>
            <w:vAlign w:val="center"/>
          </w:tcPr>
          <w:p w14:paraId="36FF04CD">
            <w:pPr>
              <w:jc w:val="center"/>
              <w:rPr>
                <w:rFonts w:ascii="Times New Roman" w:hAnsi="Times New Roman" w:eastAsia="宋体" w:cs="Times New Roman"/>
                <w:sz w:val="24"/>
                <w:szCs w:val="24"/>
              </w:rPr>
            </w:pPr>
          </w:p>
        </w:tc>
      </w:tr>
      <w:tr w14:paraId="0FCE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62" w:type="dxa"/>
            <w:vMerge w:val="continue"/>
          </w:tcPr>
          <w:p w14:paraId="7E6CCEBE">
            <w:pPr>
              <w:jc w:val="center"/>
              <w:rPr>
                <w:rFonts w:ascii="Times New Roman" w:hAnsi="Times New Roman" w:eastAsia="宋体" w:cs="Times New Roman"/>
                <w:sz w:val="24"/>
                <w:szCs w:val="24"/>
              </w:rPr>
            </w:pPr>
          </w:p>
        </w:tc>
        <w:tc>
          <w:tcPr>
            <w:tcW w:w="1560" w:type="dxa"/>
            <w:vAlign w:val="center"/>
          </w:tcPr>
          <w:p w14:paraId="2F445C1E">
            <w:pPr>
              <w:jc w:val="center"/>
              <w:rPr>
                <w:rFonts w:ascii="Times New Roman" w:hAnsi="Times New Roman" w:eastAsia="宋体" w:cs="Times New Roman"/>
                <w:b/>
                <w:sz w:val="24"/>
                <w:szCs w:val="24"/>
              </w:rPr>
            </w:pPr>
            <w:r>
              <w:rPr>
                <w:rFonts w:ascii="Times New Roman" w:hAnsi="Times New Roman" w:eastAsia="宋体" w:cs="Times New Roman"/>
                <w:b/>
                <w:sz w:val="24"/>
                <w:szCs w:val="24"/>
              </w:rPr>
              <w:t>开课情况</w:t>
            </w:r>
          </w:p>
        </w:tc>
        <w:tc>
          <w:tcPr>
            <w:tcW w:w="6174" w:type="dxa"/>
            <w:gridSpan w:val="3"/>
            <w:vAlign w:val="center"/>
          </w:tcPr>
          <w:p w14:paraId="2199C7D6">
            <w:pPr>
              <w:rPr>
                <w:rFonts w:ascii="Times New Roman" w:hAnsi="Times New Roman" w:eastAsia="宋体" w:cs="Times New Roman"/>
                <w:sz w:val="16"/>
                <w:szCs w:val="24"/>
              </w:rPr>
            </w:pPr>
            <w:r>
              <w:rPr>
                <w:rFonts w:ascii="Times New Roman" w:hAnsi="Times New Roman" w:eastAsia="宋体" w:cs="Times New Roman"/>
                <w:sz w:val="16"/>
                <w:szCs w:val="24"/>
              </w:rPr>
              <w:t>（请描述实际情况，是否已正式开设和讲授课程、开课起始时间、课程数量和频次等）</w:t>
            </w:r>
          </w:p>
          <w:p w14:paraId="1AECF70C">
            <w:pPr>
              <w:rPr>
                <w:rFonts w:ascii="Times New Roman" w:hAnsi="Times New Roman" w:eastAsia="宋体" w:cs="Times New Roman"/>
                <w:sz w:val="24"/>
                <w:szCs w:val="24"/>
              </w:rPr>
            </w:pPr>
          </w:p>
        </w:tc>
      </w:tr>
      <w:tr w14:paraId="2CF4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62" w:type="dxa"/>
            <w:vMerge w:val="restart"/>
            <w:vAlign w:val="center"/>
          </w:tcPr>
          <w:p w14:paraId="624B36C9">
            <w:pPr>
              <w:jc w:val="center"/>
              <w:rPr>
                <w:rFonts w:ascii="Times New Roman" w:hAnsi="Times New Roman" w:eastAsia="宋体" w:cs="Times New Roman"/>
                <w:b/>
                <w:sz w:val="24"/>
                <w:szCs w:val="24"/>
              </w:rPr>
            </w:pPr>
            <w:r>
              <w:rPr>
                <w:rFonts w:ascii="Times New Roman" w:hAnsi="Times New Roman" w:eastAsia="宋体" w:cs="Times New Roman"/>
                <w:b/>
                <w:sz w:val="24"/>
                <w:szCs w:val="24"/>
              </w:rPr>
              <w:t>主讲教师</w:t>
            </w:r>
          </w:p>
        </w:tc>
        <w:tc>
          <w:tcPr>
            <w:tcW w:w="1560" w:type="dxa"/>
            <w:vAlign w:val="center"/>
          </w:tcPr>
          <w:p w14:paraId="7A8198A7">
            <w:pPr>
              <w:jc w:val="center"/>
              <w:rPr>
                <w:rFonts w:ascii="Times New Roman" w:hAnsi="Times New Roman" w:eastAsia="宋体" w:cs="Times New Roman"/>
                <w:b/>
                <w:sz w:val="24"/>
                <w:szCs w:val="24"/>
              </w:rPr>
            </w:pPr>
            <w:r>
              <w:rPr>
                <w:rFonts w:ascii="Times New Roman" w:hAnsi="Times New Roman" w:eastAsia="宋体" w:cs="Times New Roman"/>
                <w:b/>
                <w:sz w:val="24"/>
                <w:szCs w:val="24"/>
              </w:rPr>
              <w:t>姓名</w:t>
            </w:r>
          </w:p>
        </w:tc>
        <w:tc>
          <w:tcPr>
            <w:tcW w:w="2268" w:type="dxa"/>
            <w:vAlign w:val="center"/>
          </w:tcPr>
          <w:p w14:paraId="58CA447D">
            <w:pPr>
              <w:jc w:val="center"/>
              <w:rPr>
                <w:rFonts w:ascii="Times New Roman" w:hAnsi="Times New Roman" w:eastAsia="宋体" w:cs="Times New Roman"/>
                <w:sz w:val="24"/>
                <w:szCs w:val="24"/>
              </w:rPr>
            </w:pPr>
          </w:p>
        </w:tc>
        <w:tc>
          <w:tcPr>
            <w:tcW w:w="1984" w:type="dxa"/>
            <w:vAlign w:val="center"/>
          </w:tcPr>
          <w:p w14:paraId="62B25922">
            <w:pPr>
              <w:jc w:val="center"/>
              <w:rPr>
                <w:rFonts w:ascii="Times New Roman" w:hAnsi="Times New Roman" w:eastAsia="宋体" w:cs="Times New Roman"/>
                <w:b/>
                <w:sz w:val="24"/>
                <w:szCs w:val="24"/>
              </w:rPr>
            </w:pPr>
            <w:r>
              <w:rPr>
                <w:rFonts w:ascii="Times New Roman" w:hAnsi="Times New Roman" w:eastAsia="宋体" w:cs="Times New Roman"/>
                <w:b/>
                <w:sz w:val="24"/>
                <w:szCs w:val="24"/>
              </w:rPr>
              <w:t>职称</w:t>
            </w:r>
          </w:p>
        </w:tc>
        <w:tc>
          <w:tcPr>
            <w:tcW w:w="1922" w:type="dxa"/>
            <w:vAlign w:val="center"/>
          </w:tcPr>
          <w:p w14:paraId="6F125281">
            <w:pPr>
              <w:jc w:val="center"/>
              <w:rPr>
                <w:rFonts w:ascii="Times New Roman" w:hAnsi="Times New Roman" w:eastAsia="宋体" w:cs="Times New Roman"/>
                <w:sz w:val="24"/>
                <w:szCs w:val="24"/>
              </w:rPr>
            </w:pPr>
          </w:p>
        </w:tc>
      </w:tr>
      <w:tr w14:paraId="1A8D6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62" w:type="dxa"/>
            <w:vMerge w:val="continue"/>
            <w:vAlign w:val="center"/>
          </w:tcPr>
          <w:p w14:paraId="27D514EA">
            <w:pPr>
              <w:jc w:val="center"/>
              <w:rPr>
                <w:rFonts w:ascii="Times New Roman" w:hAnsi="Times New Roman" w:eastAsia="宋体" w:cs="Times New Roman"/>
                <w:sz w:val="24"/>
                <w:szCs w:val="24"/>
              </w:rPr>
            </w:pPr>
          </w:p>
        </w:tc>
        <w:tc>
          <w:tcPr>
            <w:tcW w:w="1560" w:type="dxa"/>
            <w:vAlign w:val="center"/>
          </w:tcPr>
          <w:p w14:paraId="3490160C">
            <w:pPr>
              <w:jc w:val="center"/>
              <w:rPr>
                <w:rFonts w:ascii="Times New Roman" w:hAnsi="Times New Roman" w:eastAsia="宋体" w:cs="Times New Roman"/>
                <w:b/>
                <w:sz w:val="24"/>
                <w:szCs w:val="24"/>
              </w:rPr>
            </w:pPr>
            <w:r>
              <w:rPr>
                <w:rFonts w:ascii="Times New Roman" w:hAnsi="Times New Roman" w:eastAsia="宋体" w:cs="Times New Roman"/>
                <w:b/>
                <w:sz w:val="24"/>
                <w:szCs w:val="24"/>
              </w:rPr>
              <w:t>院系</w:t>
            </w:r>
          </w:p>
        </w:tc>
        <w:tc>
          <w:tcPr>
            <w:tcW w:w="2268" w:type="dxa"/>
            <w:vAlign w:val="center"/>
          </w:tcPr>
          <w:p w14:paraId="16AA9750">
            <w:pPr>
              <w:jc w:val="center"/>
              <w:rPr>
                <w:rFonts w:ascii="Times New Roman" w:hAnsi="Times New Roman" w:eastAsia="宋体" w:cs="Times New Roman"/>
                <w:sz w:val="24"/>
                <w:szCs w:val="24"/>
              </w:rPr>
            </w:pPr>
          </w:p>
        </w:tc>
        <w:tc>
          <w:tcPr>
            <w:tcW w:w="1984" w:type="dxa"/>
            <w:vAlign w:val="center"/>
          </w:tcPr>
          <w:p w14:paraId="297BA072">
            <w:pPr>
              <w:jc w:val="center"/>
              <w:rPr>
                <w:rFonts w:ascii="Times New Roman" w:hAnsi="Times New Roman" w:eastAsia="宋体" w:cs="Times New Roman"/>
                <w:b/>
                <w:sz w:val="24"/>
                <w:szCs w:val="24"/>
              </w:rPr>
            </w:pPr>
            <w:r>
              <w:rPr>
                <w:rFonts w:ascii="Times New Roman" w:hAnsi="Times New Roman" w:eastAsia="宋体" w:cs="Times New Roman"/>
                <w:b/>
                <w:sz w:val="24"/>
                <w:szCs w:val="24"/>
              </w:rPr>
              <w:t>导师姓名</w:t>
            </w:r>
            <w:r>
              <w:rPr>
                <w:rFonts w:ascii="Times New Roman" w:hAnsi="Times New Roman" w:eastAsia="宋体" w:cs="Times New Roman"/>
                <w:b/>
                <w:sz w:val="24"/>
                <w:szCs w:val="24"/>
              </w:rPr>
              <w:br w:type="textWrapping"/>
            </w:r>
            <w:r>
              <w:rPr>
                <w:rFonts w:ascii="Times New Roman" w:hAnsi="Times New Roman" w:eastAsia="宋体" w:cs="Times New Roman"/>
                <w:sz w:val="16"/>
                <w:szCs w:val="24"/>
              </w:rPr>
              <w:t>（学校青年教师导师制）</w:t>
            </w:r>
          </w:p>
        </w:tc>
        <w:tc>
          <w:tcPr>
            <w:tcW w:w="1922" w:type="dxa"/>
            <w:vAlign w:val="center"/>
          </w:tcPr>
          <w:p w14:paraId="06C6FABA">
            <w:pPr>
              <w:jc w:val="center"/>
              <w:rPr>
                <w:rFonts w:ascii="Times New Roman" w:hAnsi="Times New Roman" w:eastAsia="宋体" w:cs="Times New Roman"/>
                <w:sz w:val="24"/>
                <w:szCs w:val="24"/>
              </w:rPr>
            </w:pPr>
          </w:p>
        </w:tc>
      </w:tr>
      <w:tr w14:paraId="12E0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8296" w:type="dxa"/>
            <w:gridSpan w:val="5"/>
          </w:tcPr>
          <w:p w14:paraId="3D842DDE">
            <w:pPr>
              <w:rPr>
                <w:rFonts w:ascii="Times New Roman" w:hAnsi="Times New Roman" w:eastAsia="宋体" w:cs="Times New Roman"/>
                <w:b/>
                <w:sz w:val="24"/>
                <w:szCs w:val="24"/>
              </w:rPr>
            </w:pPr>
            <w:r>
              <w:rPr>
                <w:rFonts w:ascii="Times New Roman" w:hAnsi="Times New Roman" w:eastAsia="宋体" w:cs="Times New Roman"/>
                <w:b/>
                <w:sz w:val="24"/>
                <w:szCs w:val="24"/>
              </w:rPr>
              <w:t>教学目标（知识、能力、情感态度等）</w:t>
            </w:r>
          </w:p>
        </w:tc>
      </w:tr>
      <w:tr w14:paraId="3493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7" w:hRule="atLeast"/>
        </w:trPr>
        <w:tc>
          <w:tcPr>
            <w:tcW w:w="8296" w:type="dxa"/>
            <w:gridSpan w:val="5"/>
          </w:tcPr>
          <w:p w14:paraId="487466A9">
            <w:pPr>
              <w:rPr>
                <w:rFonts w:ascii="Times New Roman" w:hAnsi="Times New Roman" w:eastAsia="宋体" w:cs="Times New Roman"/>
                <w:b/>
                <w:sz w:val="24"/>
                <w:szCs w:val="24"/>
              </w:rPr>
            </w:pPr>
            <w:r>
              <w:rPr>
                <w:rFonts w:ascii="Times New Roman" w:hAnsi="Times New Roman" w:eastAsia="宋体" w:cs="Times New Roman"/>
                <w:b/>
                <w:color w:val="000000"/>
                <w:kern w:val="0"/>
                <w:sz w:val="24"/>
                <w:szCs w:val="24"/>
              </w:rPr>
              <w:t>教学内容（主要内容、教学重点与难点等）</w:t>
            </w:r>
          </w:p>
        </w:tc>
      </w:tr>
      <w:tr w14:paraId="08B26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rPr>
        <w:tc>
          <w:tcPr>
            <w:tcW w:w="8296" w:type="dxa"/>
            <w:gridSpan w:val="5"/>
          </w:tcPr>
          <w:p w14:paraId="0E37AB46">
            <w:pPr>
              <w:rPr>
                <w:rFonts w:ascii="Times New Roman" w:hAnsi="Times New Roman" w:eastAsia="宋体" w:cs="Times New Roman"/>
                <w:b/>
                <w:sz w:val="24"/>
                <w:szCs w:val="24"/>
              </w:rPr>
            </w:pPr>
            <w:r>
              <w:rPr>
                <w:rFonts w:ascii="Times New Roman" w:hAnsi="Times New Roman" w:eastAsia="宋体" w:cs="Times New Roman"/>
                <w:b/>
                <w:color w:val="000000"/>
                <w:kern w:val="0"/>
                <w:sz w:val="24"/>
                <w:szCs w:val="24"/>
              </w:rPr>
              <w:t>教学策略（教学方法、教学组织形式、教学媒体应用）</w:t>
            </w:r>
          </w:p>
        </w:tc>
      </w:tr>
      <w:tr w14:paraId="5EA98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7" w:hRule="atLeast"/>
        </w:trPr>
        <w:tc>
          <w:tcPr>
            <w:tcW w:w="8296" w:type="dxa"/>
            <w:gridSpan w:val="5"/>
          </w:tcPr>
          <w:p w14:paraId="3F453FB3">
            <w:pPr>
              <w:rPr>
                <w:rFonts w:ascii="Times New Roman" w:hAnsi="Times New Roman" w:eastAsia="宋体" w:cs="Times New Roman"/>
                <w:b/>
                <w:sz w:val="24"/>
                <w:szCs w:val="24"/>
              </w:rPr>
            </w:pPr>
            <w:r>
              <w:rPr>
                <w:rFonts w:ascii="Times New Roman" w:hAnsi="Times New Roman" w:eastAsia="宋体" w:cs="Times New Roman"/>
                <w:b/>
                <w:color w:val="000000"/>
                <w:kern w:val="0"/>
                <w:sz w:val="24"/>
                <w:szCs w:val="24"/>
              </w:rPr>
              <w:t>教学过程（导入、展开、总结、含提问、讨论、布置与检查等）</w:t>
            </w:r>
          </w:p>
        </w:tc>
      </w:tr>
      <w:tr w14:paraId="6B7A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atLeast"/>
        </w:trPr>
        <w:tc>
          <w:tcPr>
            <w:tcW w:w="8296" w:type="dxa"/>
            <w:gridSpan w:val="5"/>
          </w:tcPr>
          <w:p w14:paraId="2865FBD1">
            <w:pPr>
              <w:rPr>
                <w:rFonts w:ascii="Times New Roman" w:hAnsi="Times New Roman" w:eastAsia="宋体" w:cs="Times New Roman"/>
                <w:b/>
                <w:color w:val="000000"/>
                <w:kern w:val="0"/>
                <w:sz w:val="24"/>
                <w:szCs w:val="24"/>
              </w:rPr>
            </w:pPr>
            <w:r>
              <w:rPr>
                <w:rFonts w:ascii="Times New Roman" w:hAnsi="Times New Roman" w:eastAsia="宋体" w:cs="Times New Roman"/>
                <w:b/>
                <w:color w:val="000000"/>
                <w:kern w:val="0"/>
                <w:sz w:val="24"/>
                <w:szCs w:val="24"/>
              </w:rPr>
              <w:t>参考资料及学生阅读材料</w:t>
            </w:r>
          </w:p>
        </w:tc>
      </w:tr>
    </w:tbl>
    <w:p w14:paraId="7D2FE950">
      <w:pPr>
        <w:jc w:val="center"/>
        <w:rPr>
          <w:rFonts w:ascii="Times New Roman" w:hAnsi="Times New Roman" w:eastAsia="宋体" w:cs="Times New Roman"/>
          <w:b/>
          <w:kern w:val="0"/>
          <w:sz w:val="36"/>
          <w:szCs w:val="32"/>
        </w:rPr>
        <w:sectPr>
          <w:pgSz w:w="11906" w:h="16838"/>
          <w:pgMar w:top="1440" w:right="1701" w:bottom="1440" w:left="1701" w:header="851" w:footer="992" w:gutter="0"/>
          <w:cols w:space="425" w:num="1"/>
          <w:docGrid w:type="lines" w:linePitch="312" w:charSpace="0"/>
        </w:sectPr>
      </w:pPr>
    </w:p>
    <w:tbl>
      <w:tblPr>
        <w:tblStyle w:val="10"/>
        <w:tblW w:w="5000" w:type="pct"/>
        <w:tblInd w:w="0" w:type="dxa"/>
        <w:tblLayout w:type="autofit"/>
        <w:tblCellMar>
          <w:top w:w="0" w:type="dxa"/>
          <w:left w:w="108" w:type="dxa"/>
          <w:bottom w:w="0" w:type="dxa"/>
          <w:right w:w="108" w:type="dxa"/>
        </w:tblCellMar>
      </w:tblPr>
      <w:tblGrid>
        <w:gridCol w:w="717"/>
        <w:gridCol w:w="1585"/>
        <w:gridCol w:w="2874"/>
        <w:gridCol w:w="825"/>
        <w:gridCol w:w="2634"/>
        <w:gridCol w:w="2157"/>
        <w:gridCol w:w="1140"/>
        <w:gridCol w:w="2242"/>
      </w:tblGrid>
      <w:tr w14:paraId="23048953">
        <w:tblPrEx>
          <w:tblCellMar>
            <w:top w:w="0" w:type="dxa"/>
            <w:left w:w="108" w:type="dxa"/>
            <w:bottom w:w="0" w:type="dxa"/>
            <w:right w:w="108" w:type="dxa"/>
          </w:tblCellMar>
        </w:tblPrEx>
        <w:trPr>
          <w:trHeight w:val="945" w:hRule="atLeast"/>
        </w:trPr>
        <w:tc>
          <w:tcPr>
            <w:tcW w:w="5000" w:type="pct"/>
            <w:gridSpan w:val="8"/>
            <w:tcBorders>
              <w:top w:val="nil"/>
              <w:left w:val="nil"/>
              <w:bottom w:val="nil"/>
              <w:right w:val="nil"/>
            </w:tcBorders>
            <w:shd w:val="clear" w:color="auto" w:fill="auto"/>
            <w:vAlign w:val="center"/>
          </w:tcPr>
          <w:p w14:paraId="1322B339">
            <w:pPr>
              <w:pStyle w:val="2"/>
              <w:spacing w:before="120" w:after="120" w:line="240" w:lineRule="auto"/>
              <w:jc w:val="center"/>
              <w:rPr>
                <w:rFonts w:ascii="宋体" w:hAnsi="宋体" w:eastAsia="宋体" w:cs="Arial"/>
                <w:b/>
                <w:bCs/>
                <w:color w:val="000000"/>
                <w:kern w:val="0"/>
                <w:sz w:val="36"/>
                <w:szCs w:val="36"/>
              </w:rPr>
            </w:pPr>
            <w:bookmarkStart w:id="2" w:name="_Toc177025207"/>
            <w:r>
              <w:rPr>
                <w:rFonts w:hint="eastAsia" w:ascii="宋体" w:hAnsi="宋体" w:eastAsia="宋体"/>
                <w:sz w:val="36"/>
              </w:rPr>
              <w:t>北京师范大学</w:t>
            </w:r>
            <w:r>
              <w:rPr>
                <w:rFonts w:ascii="宋体" w:hAnsi="宋体" w:eastAsia="宋体"/>
                <w:sz w:val="36"/>
              </w:rPr>
              <w:t>202</w:t>
            </w:r>
            <w:r>
              <w:rPr>
                <w:rFonts w:hint="eastAsia" w:ascii="宋体" w:hAnsi="宋体" w:eastAsia="宋体"/>
                <w:sz w:val="36"/>
                <w:lang w:val="en-US" w:eastAsia="zh-CN"/>
              </w:rPr>
              <w:t>5</w:t>
            </w:r>
            <w:r>
              <w:rPr>
                <w:rFonts w:ascii="宋体" w:hAnsi="宋体" w:eastAsia="宋体"/>
                <w:sz w:val="36"/>
              </w:rPr>
              <w:t>年高等学校教师资格教育教学能力测试</w:t>
            </w:r>
            <w:r>
              <w:rPr>
                <w:rFonts w:ascii="宋体" w:hAnsi="宋体" w:eastAsia="宋体"/>
                <w:sz w:val="36"/>
              </w:rPr>
              <w:br w:type="textWrapping"/>
            </w:r>
            <w:r>
              <w:rPr>
                <w:rFonts w:hint="eastAsia" w:ascii="宋体" w:hAnsi="宋体" w:eastAsia="宋体"/>
                <w:sz w:val="36"/>
              </w:rPr>
              <w:t>专家审查委员会专业评议组评议结果</w:t>
            </w:r>
            <w:bookmarkEnd w:id="2"/>
          </w:p>
        </w:tc>
      </w:tr>
      <w:tr w14:paraId="5DA5221D">
        <w:tblPrEx>
          <w:tblCellMar>
            <w:top w:w="0" w:type="dxa"/>
            <w:left w:w="108" w:type="dxa"/>
            <w:bottom w:w="0" w:type="dxa"/>
            <w:right w:w="108" w:type="dxa"/>
          </w:tblCellMar>
        </w:tblPrEx>
        <w:trPr>
          <w:trHeight w:val="671" w:hRule="atLeast"/>
        </w:trPr>
        <w:tc>
          <w:tcPr>
            <w:tcW w:w="812" w:type="pct"/>
            <w:gridSpan w:val="2"/>
            <w:tcBorders>
              <w:top w:val="nil"/>
              <w:left w:val="nil"/>
              <w:right w:val="nil"/>
            </w:tcBorders>
            <w:shd w:val="clear" w:color="auto" w:fill="auto"/>
            <w:noWrap/>
            <w:vAlign w:val="center"/>
          </w:tcPr>
          <w:p w14:paraId="3DDF7224">
            <w:pPr>
              <w:widowControl/>
              <w:jc w:val="left"/>
              <w:rPr>
                <w:rFonts w:ascii="宋体" w:hAnsi="宋体" w:eastAsia="宋体" w:cs="Arial"/>
                <w:kern w:val="0"/>
                <w:sz w:val="24"/>
                <w:szCs w:val="24"/>
              </w:rPr>
            </w:pPr>
            <w:r>
              <w:rPr>
                <w:rFonts w:hint="eastAsia" w:ascii="宋体" w:hAnsi="宋体" w:eastAsia="宋体" w:cs="Arial"/>
                <w:kern w:val="0"/>
                <w:sz w:val="24"/>
                <w:szCs w:val="24"/>
              </w:rPr>
              <w:t>单位（公章）：</w:t>
            </w:r>
          </w:p>
        </w:tc>
        <w:tc>
          <w:tcPr>
            <w:tcW w:w="2234" w:type="pct"/>
            <w:gridSpan w:val="3"/>
            <w:tcBorders>
              <w:top w:val="nil"/>
              <w:left w:val="nil"/>
              <w:bottom w:val="single" w:color="auto" w:sz="4" w:space="0"/>
              <w:right w:val="nil"/>
            </w:tcBorders>
            <w:shd w:val="clear" w:color="auto" w:fill="auto"/>
            <w:noWrap/>
            <w:vAlign w:val="center"/>
          </w:tcPr>
          <w:p w14:paraId="349E527B">
            <w:pPr>
              <w:widowControl/>
              <w:jc w:val="center"/>
              <w:rPr>
                <w:rFonts w:ascii="Times New Roman" w:hAnsi="Times New Roman" w:eastAsia="Times New Roman" w:cs="Times New Roman"/>
                <w:kern w:val="0"/>
                <w:sz w:val="24"/>
                <w:szCs w:val="24"/>
              </w:rPr>
            </w:pPr>
          </w:p>
        </w:tc>
        <w:tc>
          <w:tcPr>
            <w:tcW w:w="1953" w:type="pct"/>
            <w:gridSpan w:val="3"/>
            <w:tcBorders>
              <w:top w:val="nil"/>
              <w:left w:val="nil"/>
              <w:right w:val="nil"/>
            </w:tcBorders>
            <w:shd w:val="clear" w:color="auto" w:fill="auto"/>
            <w:noWrap/>
            <w:vAlign w:val="center"/>
          </w:tcPr>
          <w:p w14:paraId="4D15F001">
            <w:pPr>
              <w:widowControl/>
              <w:jc w:val="left"/>
              <w:rPr>
                <w:rFonts w:ascii="宋体" w:hAnsi="宋体" w:eastAsia="宋体" w:cs="Arial"/>
                <w:kern w:val="0"/>
                <w:sz w:val="24"/>
                <w:szCs w:val="24"/>
              </w:rPr>
            </w:pPr>
            <w:r>
              <w:rPr>
                <w:rFonts w:hint="eastAsia" w:ascii="宋体" w:hAnsi="宋体" w:eastAsia="宋体" w:cs="Arial"/>
                <w:kern w:val="0"/>
                <w:sz w:val="24"/>
                <w:szCs w:val="24"/>
              </w:rPr>
              <w:t>日期：</w:t>
            </w:r>
          </w:p>
        </w:tc>
      </w:tr>
      <w:tr w14:paraId="5D44BC9D">
        <w:tblPrEx>
          <w:tblCellMar>
            <w:top w:w="0" w:type="dxa"/>
            <w:left w:w="108" w:type="dxa"/>
            <w:bottom w:w="0" w:type="dxa"/>
            <w:right w:w="108" w:type="dxa"/>
          </w:tblCellMar>
        </w:tblPrEx>
        <w:trPr>
          <w:trHeight w:val="735" w:hRule="atLeast"/>
        </w:trPr>
        <w:tc>
          <w:tcPr>
            <w:tcW w:w="25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BB651EA">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序号</w:t>
            </w: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7C716F85">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姓名</w:t>
            </w: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26D048A4">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证件号码</w:t>
            </w: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1F7F70DB">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性别</w:t>
            </w: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77193AA7">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申请学科</w:t>
            </w: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1DEC023F">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报名号</w:t>
            </w:r>
          </w:p>
        </w:tc>
        <w:tc>
          <w:tcPr>
            <w:tcW w:w="402" w:type="pct"/>
            <w:tcBorders>
              <w:top w:val="single" w:color="auto" w:sz="4" w:space="0"/>
              <w:left w:val="nil"/>
              <w:bottom w:val="single" w:color="auto" w:sz="4" w:space="0"/>
              <w:right w:val="single" w:color="auto" w:sz="4" w:space="0"/>
            </w:tcBorders>
            <w:shd w:val="clear" w:color="auto" w:fill="auto"/>
            <w:vAlign w:val="center"/>
          </w:tcPr>
          <w:p w14:paraId="021EDBD2">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分数</w:t>
            </w:r>
          </w:p>
        </w:tc>
        <w:tc>
          <w:tcPr>
            <w:tcW w:w="789" w:type="pct"/>
            <w:tcBorders>
              <w:top w:val="single" w:color="auto" w:sz="4" w:space="0"/>
              <w:left w:val="nil"/>
              <w:bottom w:val="single" w:color="auto" w:sz="4" w:space="0"/>
              <w:right w:val="single" w:color="auto" w:sz="4" w:space="0"/>
            </w:tcBorders>
            <w:shd w:val="clear" w:color="auto" w:fill="auto"/>
            <w:vAlign w:val="center"/>
          </w:tcPr>
          <w:p w14:paraId="74E3ABDA">
            <w:pPr>
              <w:widowControl/>
              <w:jc w:val="center"/>
              <w:rPr>
                <w:rFonts w:ascii="宋体" w:hAnsi="宋体" w:eastAsia="宋体" w:cs="Arial"/>
                <w:color w:val="000000"/>
                <w:kern w:val="0"/>
                <w:sz w:val="24"/>
                <w:szCs w:val="24"/>
              </w:rPr>
            </w:pPr>
            <w:r>
              <w:rPr>
                <w:rFonts w:hint="eastAsia" w:ascii="宋体" w:hAnsi="宋体" w:eastAsia="宋体" w:cs="Arial"/>
                <w:color w:val="000000"/>
                <w:kern w:val="0"/>
                <w:sz w:val="24"/>
                <w:szCs w:val="24"/>
              </w:rPr>
              <w:t>是否合格</w:t>
            </w:r>
          </w:p>
        </w:tc>
      </w:tr>
      <w:tr w14:paraId="373334CF">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3104AB87">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1B352161">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604E36B7">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3395F854">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1B646CEF">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76B3CC10">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6AA86757">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5991533D">
            <w:pPr>
              <w:widowControl/>
              <w:jc w:val="center"/>
              <w:rPr>
                <w:rFonts w:ascii="宋体" w:hAnsi="宋体" w:eastAsia="宋体" w:cs="Arial"/>
                <w:kern w:val="0"/>
                <w:sz w:val="24"/>
                <w:szCs w:val="24"/>
              </w:rPr>
            </w:pPr>
          </w:p>
        </w:tc>
      </w:tr>
      <w:tr w14:paraId="2D9F30E5">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27DC762">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6E56E0CD">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15FB0F63">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5B8A06A1">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592D3B22">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37426FBA">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0AC50D63">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449F4823">
            <w:pPr>
              <w:widowControl/>
              <w:jc w:val="center"/>
              <w:rPr>
                <w:rFonts w:ascii="宋体" w:hAnsi="宋体" w:eastAsia="宋体" w:cs="Arial"/>
                <w:kern w:val="0"/>
                <w:sz w:val="24"/>
                <w:szCs w:val="24"/>
              </w:rPr>
            </w:pPr>
          </w:p>
        </w:tc>
      </w:tr>
      <w:tr w14:paraId="0B5D3ACE">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F239449">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22FC9F38">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5074F3FF">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31C15082">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603A6105">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3AA8D5D5">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7A201E1F">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3D3091FC">
            <w:pPr>
              <w:widowControl/>
              <w:jc w:val="center"/>
              <w:rPr>
                <w:rFonts w:ascii="宋体" w:hAnsi="宋体" w:eastAsia="宋体" w:cs="Arial"/>
                <w:kern w:val="0"/>
                <w:sz w:val="24"/>
                <w:szCs w:val="24"/>
              </w:rPr>
            </w:pPr>
          </w:p>
        </w:tc>
      </w:tr>
      <w:tr w14:paraId="03C14C22">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12A5A48A">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77A60258">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36B4DD5C">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539CE1C5">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448E2A1E">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1CF29BCA">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224F5486">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586A5EBD">
            <w:pPr>
              <w:widowControl/>
              <w:jc w:val="center"/>
              <w:rPr>
                <w:rFonts w:ascii="宋体" w:hAnsi="宋体" w:eastAsia="宋体" w:cs="Arial"/>
                <w:kern w:val="0"/>
                <w:sz w:val="24"/>
                <w:szCs w:val="24"/>
              </w:rPr>
            </w:pPr>
          </w:p>
        </w:tc>
      </w:tr>
      <w:tr w14:paraId="186AFBAD">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2992752B">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72A5AAAA">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589136DD">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55F2A6E8">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58F9FE54">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099EB383">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285957A6">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0684317B">
            <w:pPr>
              <w:widowControl/>
              <w:jc w:val="center"/>
              <w:rPr>
                <w:rFonts w:ascii="宋体" w:hAnsi="宋体" w:eastAsia="宋体" w:cs="Arial"/>
                <w:kern w:val="0"/>
                <w:sz w:val="24"/>
                <w:szCs w:val="24"/>
              </w:rPr>
            </w:pPr>
          </w:p>
        </w:tc>
      </w:tr>
      <w:tr w14:paraId="433AD73D">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5B45D3F8">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20E1ACCF">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0CAF4144">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3A678CCB">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31911F57">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276C0D0C">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773D40ED">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03F0AD73">
            <w:pPr>
              <w:widowControl/>
              <w:jc w:val="center"/>
              <w:rPr>
                <w:rFonts w:ascii="宋体" w:hAnsi="宋体" w:eastAsia="宋体" w:cs="Arial"/>
                <w:kern w:val="0"/>
                <w:sz w:val="24"/>
                <w:szCs w:val="24"/>
              </w:rPr>
            </w:pPr>
          </w:p>
        </w:tc>
      </w:tr>
      <w:tr w14:paraId="1F44BD43">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3601D6C">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59557F0A">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3FF7956C">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182C3491">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72E95A77">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7D40857B">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2F4DC26F">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5528F4D0">
            <w:pPr>
              <w:widowControl/>
              <w:jc w:val="center"/>
              <w:rPr>
                <w:rFonts w:ascii="宋体" w:hAnsi="宋体" w:eastAsia="宋体" w:cs="Arial"/>
                <w:kern w:val="0"/>
                <w:sz w:val="24"/>
                <w:szCs w:val="24"/>
              </w:rPr>
            </w:pPr>
          </w:p>
        </w:tc>
      </w:tr>
      <w:tr w14:paraId="75FAC8BA">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2B1D63D2">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218B36C6">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74C10858">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2C69FD93">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7931AF90">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02292C3D">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0092DCA2">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1D26D65F">
            <w:pPr>
              <w:widowControl/>
              <w:jc w:val="center"/>
              <w:rPr>
                <w:rFonts w:ascii="宋体" w:hAnsi="宋体" w:eastAsia="宋体" w:cs="Arial"/>
                <w:kern w:val="0"/>
                <w:sz w:val="24"/>
                <w:szCs w:val="24"/>
              </w:rPr>
            </w:pPr>
          </w:p>
        </w:tc>
      </w:tr>
      <w:tr w14:paraId="49FB8B8F">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30F38CE8">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0A716FC9">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3CDA1AC8">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16423D4E">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06369A3A">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77C76215">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370AB69E">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310C8FF6">
            <w:pPr>
              <w:widowControl/>
              <w:jc w:val="center"/>
              <w:rPr>
                <w:rFonts w:ascii="宋体" w:hAnsi="宋体" w:eastAsia="宋体" w:cs="Arial"/>
                <w:kern w:val="0"/>
                <w:sz w:val="24"/>
                <w:szCs w:val="24"/>
              </w:rPr>
            </w:pPr>
          </w:p>
        </w:tc>
      </w:tr>
      <w:tr w14:paraId="35ED3A1D">
        <w:tblPrEx>
          <w:tblCellMar>
            <w:top w:w="0" w:type="dxa"/>
            <w:left w:w="108" w:type="dxa"/>
            <w:bottom w:w="0" w:type="dxa"/>
            <w:right w:w="108" w:type="dxa"/>
          </w:tblCellMar>
        </w:tblPrEx>
        <w:trPr>
          <w:trHeight w:val="465"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5225D9D2">
            <w:pPr>
              <w:widowControl/>
              <w:jc w:val="center"/>
              <w:rPr>
                <w:rFonts w:ascii="宋体" w:hAnsi="宋体" w:eastAsia="宋体" w:cs="Arial"/>
                <w:color w:val="000000"/>
                <w:kern w:val="0"/>
                <w:sz w:val="24"/>
                <w:szCs w:val="24"/>
              </w:rPr>
            </w:pPr>
          </w:p>
        </w:tc>
        <w:tc>
          <w:tcPr>
            <w:tcW w:w="559" w:type="pct"/>
            <w:tcBorders>
              <w:top w:val="single" w:color="auto" w:sz="4" w:space="0"/>
              <w:left w:val="nil"/>
              <w:bottom w:val="single" w:color="auto" w:sz="4" w:space="0"/>
              <w:right w:val="single" w:color="auto" w:sz="4" w:space="0"/>
            </w:tcBorders>
            <w:shd w:val="clear" w:color="auto" w:fill="auto"/>
            <w:noWrap/>
            <w:vAlign w:val="center"/>
          </w:tcPr>
          <w:p w14:paraId="11222436">
            <w:pPr>
              <w:widowControl/>
              <w:jc w:val="center"/>
              <w:rPr>
                <w:rFonts w:ascii="宋体" w:hAnsi="宋体" w:eastAsia="宋体" w:cs="Arial"/>
                <w:kern w:val="0"/>
                <w:sz w:val="24"/>
                <w:szCs w:val="24"/>
              </w:rPr>
            </w:pPr>
          </w:p>
        </w:tc>
        <w:tc>
          <w:tcPr>
            <w:tcW w:w="1014" w:type="pct"/>
            <w:tcBorders>
              <w:top w:val="single" w:color="auto" w:sz="4" w:space="0"/>
              <w:left w:val="nil"/>
              <w:bottom w:val="single" w:color="auto" w:sz="4" w:space="0"/>
              <w:right w:val="single" w:color="auto" w:sz="4" w:space="0"/>
            </w:tcBorders>
            <w:shd w:val="clear" w:color="auto" w:fill="auto"/>
            <w:noWrap/>
            <w:vAlign w:val="center"/>
          </w:tcPr>
          <w:p w14:paraId="65D3D3B4">
            <w:pPr>
              <w:widowControl/>
              <w:jc w:val="center"/>
              <w:rPr>
                <w:rFonts w:ascii="宋体" w:hAnsi="宋体" w:eastAsia="宋体" w:cs="Arial"/>
                <w:kern w:val="0"/>
                <w:sz w:val="24"/>
                <w:szCs w:val="24"/>
              </w:rPr>
            </w:pPr>
          </w:p>
        </w:tc>
        <w:tc>
          <w:tcPr>
            <w:tcW w:w="289" w:type="pct"/>
            <w:tcBorders>
              <w:top w:val="single" w:color="auto" w:sz="4" w:space="0"/>
              <w:left w:val="nil"/>
              <w:bottom w:val="single" w:color="auto" w:sz="4" w:space="0"/>
              <w:right w:val="single" w:color="auto" w:sz="4" w:space="0"/>
            </w:tcBorders>
            <w:shd w:val="clear" w:color="auto" w:fill="auto"/>
            <w:noWrap/>
            <w:vAlign w:val="center"/>
          </w:tcPr>
          <w:p w14:paraId="0A6D810D">
            <w:pPr>
              <w:widowControl/>
              <w:jc w:val="center"/>
              <w:rPr>
                <w:rFonts w:ascii="宋体" w:hAnsi="宋体" w:eastAsia="宋体" w:cs="Arial"/>
                <w:kern w:val="0"/>
                <w:sz w:val="24"/>
                <w:szCs w:val="24"/>
              </w:rPr>
            </w:pPr>
          </w:p>
        </w:tc>
        <w:tc>
          <w:tcPr>
            <w:tcW w:w="929" w:type="pct"/>
            <w:tcBorders>
              <w:top w:val="single" w:color="auto" w:sz="4" w:space="0"/>
              <w:left w:val="nil"/>
              <w:bottom w:val="single" w:color="auto" w:sz="4" w:space="0"/>
              <w:right w:val="single" w:color="auto" w:sz="4" w:space="0"/>
            </w:tcBorders>
            <w:shd w:val="clear" w:color="auto" w:fill="auto"/>
            <w:noWrap/>
            <w:vAlign w:val="center"/>
          </w:tcPr>
          <w:p w14:paraId="25FC8F57">
            <w:pPr>
              <w:widowControl/>
              <w:jc w:val="center"/>
              <w:rPr>
                <w:rFonts w:ascii="宋体" w:hAnsi="宋体" w:eastAsia="宋体" w:cs="Arial"/>
                <w:kern w:val="0"/>
                <w:sz w:val="24"/>
                <w:szCs w:val="24"/>
              </w:rPr>
            </w:pPr>
          </w:p>
        </w:tc>
        <w:tc>
          <w:tcPr>
            <w:tcW w:w="761" w:type="pct"/>
            <w:tcBorders>
              <w:top w:val="single" w:color="auto" w:sz="4" w:space="0"/>
              <w:left w:val="nil"/>
              <w:bottom w:val="single" w:color="auto" w:sz="4" w:space="0"/>
              <w:right w:val="single" w:color="auto" w:sz="4" w:space="0"/>
            </w:tcBorders>
            <w:shd w:val="clear" w:color="auto" w:fill="auto"/>
            <w:noWrap/>
            <w:vAlign w:val="center"/>
          </w:tcPr>
          <w:p w14:paraId="6513B83F">
            <w:pPr>
              <w:widowControl/>
              <w:jc w:val="center"/>
              <w:rPr>
                <w:rFonts w:ascii="宋体" w:hAnsi="宋体" w:eastAsia="宋体" w:cs="Arial"/>
                <w:kern w:val="0"/>
                <w:sz w:val="24"/>
                <w:szCs w:val="24"/>
              </w:rPr>
            </w:pPr>
          </w:p>
        </w:tc>
        <w:tc>
          <w:tcPr>
            <w:tcW w:w="402" w:type="pct"/>
            <w:tcBorders>
              <w:top w:val="single" w:color="auto" w:sz="4" w:space="0"/>
              <w:left w:val="nil"/>
              <w:bottom w:val="single" w:color="auto" w:sz="4" w:space="0"/>
              <w:right w:val="single" w:color="auto" w:sz="4" w:space="0"/>
            </w:tcBorders>
            <w:shd w:val="clear" w:color="auto" w:fill="auto"/>
            <w:noWrap/>
            <w:vAlign w:val="center"/>
          </w:tcPr>
          <w:p w14:paraId="40903934">
            <w:pPr>
              <w:widowControl/>
              <w:jc w:val="center"/>
              <w:rPr>
                <w:rFonts w:ascii="宋体" w:hAnsi="宋体" w:eastAsia="宋体" w:cs="Arial"/>
                <w:kern w:val="0"/>
                <w:sz w:val="24"/>
                <w:szCs w:val="24"/>
              </w:rPr>
            </w:pPr>
          </w:p>
        </w:tc>
        <w:tc>
          <w:tcPr>
            <w:tcW w:w="789" w:type="pct"/>
            <w:tcBorders>
              <w:top w:val="single" w:color="auto" w:sz="4" w:space="0"/>
              <w:left w:val="nil"/>
              <w:bottom w:val="single" w:color="auto" w:sz="4" w:space="0"/>
              <w:right w:val="single" w:color="auto" w:sz="4" w:space="0"/>
            </w:tcBorders>
            <w:shd w:val="clear" w:color="auto" w:fill="auto"/>
            <w:noWrap/>
            <w:vAlign w:val="center"/>
          </w:tcPr>
          <w:p w14:paraId="77EF6471">
            <w:pPr>
              <w:widowControl/>
              <w:jc w:val="center"/>
              <w:rPr>
                <w:rFonts w:ascii="宋体" w:hAnsi="宋体" w:eastAsia="宋体" w:cs="Arial"/>
                <w:kern w:val="0"/>
                <w:sz w:val="24"/>
                <w:szCs w:val="24"/>
              </w:rPr>
            </w:pPr>
          </w:p>
        </w:tc>
      </w:tr>
      <w:tr w14:paraId="70CD536D">
        <w:tblPrEx>
          <w:tblCellMar>
            <w:top w:w="0" w:type="dxa"/>
            <w:left w:w="108" w:type="dxa"/>
            <w:bottom w:w="0" w:type="dxa"/>
            <w:right w:w="108" w:type="dxa"/>
          </w:tblCellMar>
        </w:tblPrEx>
        <w:trPr>
          <w:trHeight w:val="465" w:hRule="atLeast"/>
        </w:trPr>
        <w:tc>
          <w:tcPr>
            <w:tcW w:w="2117" w:type="pct"/>
            <w:gridSpan w:val="4"/>
            <w:tcBorders>
              <w:top w:val="nil"/>
              <w:left w:val="nil"/>
              <w:bottom w:val="nil"/>
              <w:right w:val="nil"/>
            </w:tcBorders>
            <w:shd w:val="clear" w:color="auto" w:fill="auto"/>
            <w:noWrap/>
            <w:vAlign w:val="center"/>
          </w:tcPr>
          <w:p w14:paraId="6E081BE4">
            <w:pPr>
              <w:widowControl/>
              <w:jc w:val="left"/>
              <w:rPr>
                <w:rFonts w:ascii="宋体" w:hAnsi="宋体" w:eastAsia="宋体" w:cs="Arial"/>
                <w:kern w:val="0"/>
                <w:sz w:val="30"/>
                <w:szCs w:val="30"/>
              </w:rPr>
            </w:pPr>
            <w:r>
              <w:rPr>
                <w:rFonts w:hint="eastAsia" w:ascii="宋体" w:hAnsi="宋体" w:eastAsia="宋体" w:cs="Arial"/>
                <w:kern w:val="0"/>
                <w:sz w:val="30"/>
                <w:szCs w:val="30"/>
              </w:rPr>
              <w:t xml:space="preserve">合格： </w:t>
            </w:r>
            <w:r>
              <w:rPr>
                <w:rFonts w:ascii="宋体" w:hAnsi="宋体" w:eastAsia="宋体" w:cs="Arial"/>
                <w:kern w:val="0"/>
                <w:sz w:val="30"/>
                <w:szCs w:val="30"/>
              </w:rPr>
              <w:t xml:space="preserve">  </w:t>
            </w:r>
            <w:r>
              <w:rPr>
                <w:rFonts w:hint="eastAsia" w:ascii="宋体" w:hAnsi="宋体" w:eastAsia="宋体" w:cs="Arial"/>
                <w:kern w:val="0"/>
                <w:sz w:val="30"/>
                <w:szCs w:val="30"/>
              </w:rPr>
              <w:t>人</w:t>
            </w:r>
          </w:p>
        </w:tc>
        <w:tc>
          <w:tcPr>
            <w:tcW w:w="929" w:type="pct"/>
            <w:tcBorders>
              <w:top w:val="nil"/>
              <w:left w:val="nil"/>
              <w:bottom w:val="nil"/>
              <w:right w:val="nil"/>
            </w:tcBorders>
            <w:shd w:val="clear" w:color="auto" w:fill="auto"/>
            <w:noWrap/>
            <w:vAlign w:val="center"/>
          </w:tcPr>
          <w:p w14:paraId="4822DE02">
            <w:pPr>
              <w:widowControl/>
              <w:jc w:val="left"/>
              <w:rPr>
                <w:rFonts w:ascii="宋体" w:hAnsi="宋体" w:eastAsia="宋体" w:cs="Arial"/>
                <w:kern w:val="0"/>
                <w:sz w:val="30"/>
                <w:szCs w:val="30"/>
              </w:rPr>
            </w:pPr>
          </w:p>
        </w:tc>
        <w:tc>
          <w:tcPr>
            <w:tcW w:w="1953" w:type="pct"/>
            <w:gridSpan w:val="3"/>
            <w:tcBorders>
              <w:top w:val="nil"/>
              <w:left w:val="nil"/>
              <w:bottom w:val="nil"/>
              <w:right w:val="nil"/>
            </w:tcBorders>
            <w:shd w:val="clear" w:color="auto" w:fill="auto"/>
            <w:noWrap/>
            <w:vAlign w:val="center"/>
          </w:tcPr>
          <w:p w14:paraId="23939BD1">
            <w:pPr>
              <w:widowControl/>
              <w:jc w:val="left"/>
              <w:rPr>
                <w:rFonts w:ascii="Times New Roman" w:hAnsi="Times New Roman" w:eastAsia="Times New Roman" w:cs="Times New Roman"/>
                <w:kern w:val="0"/>
                <w:sz w:val="30"/>
                <w:szCs w:val="30"/>
              </w:rPr>
            </w:pPr>
            <w:r>
              <w:rPr>
                <w:rFonts w:hint="eastAsia" w:ascii="宋体" w:hAnsi="宋体" w:eastAsia="宋体" w:cs="Arial"/>
                <w:kern w:val="0"/>
                <w:sz w:val="30"/>
                <w:szCs w:val="30"/>
              </w:rPr>
              <w:t>组长签字：</w:t>
            </w:r>
          </w:p>
        </w:tc>
      </w:tr>
    </w:tbl>
    <w:p w14:paraId="255E04D2">
      <w:pPr>
        <w:widowControl/>
        <w:shd w:val="clear" w:color="auto" w:fill="FFFFFF"/>
        <w:spacing w:line="400" w:lineRule="exact"/>
        <w:rPr>
          <w:rFonts w:ascii="Times New Roman" w:hAnsi="Times New Roman" w:eastAsia="宋体" w:cs="Times New Roman"/>
          <w:b/>
          <w:kern w:val="0"/>
          <w:sz w:val="36"/>
          <w:szCs w:val="21"/>
        </w:rPr>
        <w:sectPr>
          <w:pgSz w:w="16838" w:h="11906" w:orient="landscape"/>
          <w:pgMar w:top="1701" w:right="1440" w:bottom="1701" w:left="1440" w:header="851" w:footer="992" w:gutter="0"/>
          <w:cols w:space="425" w:num="1"/>
          <w:docGrid w:type="lines" w:linePitch="312" w:charSpace="0"/>
        </w:sectPr>
      </w:pPr>
    </w:p>
    <w:p w14:paraId="3FC073EC">
      <w:pPr>
        <w:widowControl/>
        <w:shd w:val="clear" w:color="auto" w:fill="FFFFFF"/>
        <w:spacing w:line="360" w:lineRule="auto"/>
        <w:jc w:val="center"/>
        <w:rPr>
          <w:rFonts w:ascii="Times New Roman" w:hAnsi="Times New Roman" w:eastAsia="宋体" w:cs="Times New Roman"/>
          <w:b/>
          <w:kern w:val="0"/>
          <w:szCs w:val="21"/>
        </w:rPr>
      </w:pPr>
      <w:r>
        <w:rPr>
          <w:rFonts w:ascii="Times New Roman" w:hAnsi="Times New Roman" w:eastAsia="宋体" w:cs="Times New Roman"/>
          <w:b/>
          <w:kern w:val="0"/>
          <w:sz w:val="36"/>
          <w:szCs w:val="21"/>
        </w:rPr>
        <w:t>北京市教育委员会关于印发《北京市教师资格教育教学能力测试标准及办法》的通知</w:t>
      </w:r>
    </w:p>
    <w:p w14:paraId="552C0AF0">
      <w:pPr>
        <w:widowControl/>
        <w:shd w:val="clear" w:color="auto" w:fill="FFFFFF"/>
        <w:spacing w:line="400" w:lineRule="exact"/>
        <w:jc w:val="right"/>
        <w:rPr>
          <w:rFonts w:ascii="Times New Roman" w:hAnsi="Times New Roman" w:eastAsia="宋体" w:cs="Times New Roman"/>
          <w:kern w:val="0"/>
          <w:szCs w:val="21"/>
        </w:rPr>
      </w:pPr>
      <w:r>
        <w:rPr>
          <w:rFonts w:ascii="Times New Roman" w:hAnsi="Times New Roman" w:eastAsia="宋体" w:cs="Times New Roman"/>
          <w:kern w:val="0"/>
          <w:szCs w:val="21"/>
        </w:rPr>
        <w:t>京教人〔2002〕4号</w:t>
      </w:r>
    </w:p>
    <w:p w14:paraId="15AC69BD">
      <w:pPr>
        <w:widowControl/>
        <w:shd w:val="clear" w:color="auto" w:fill="FFFFFF"/>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各区县教委，各高等学校：</w:t>
      </w:r>
    </w:p>
    <w:p w14:paraId="12613541">
      <w:pPr>
        <w:widowControl/>
        <w:shd w:val="clear" w:color="auto" w:fill="FFFFFF"/>
        <w:spacing w:line="400" w:lineRule="exact"/>
        <w:jc w:val="left"/>
        <w:rPr>
          <w:rFonts w:ascii="Times New Roman" w:hAnsi="Times New Roman" w:eastAsia="宋体" w:cs="Times New Roman"/>
          <w:kern w:val="0"/>
          <w:szCs w:val="21"/>
        </w:rPr>
      </w:pPr>
    </w:p>
    <w:p w14:paraId="3644BDEE">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根据《中华人民共和国教师法》、《教师资格条例》、《〈教师资格条例〉实施办法》和北京市贯彻《〈教师资格条例〉实施办法》的实施意见，我委制定了《北京市教师资格教育教学能力测试标准及办法》，现印发给你们，请遵照执行。</w:t>
      </w:r>
    </w:p>
    <w:p w14:paraId="06371999">
      <w:pPr>
        <w:widowControl/>
        <w:shd w:val="clear" w:color="auto" w:fill="FFFFFF"/>
        <w:spacing w:line="400" w:lineRule="exact"/>
        <w:jc w:val="right"/>
        <w:rPr>
          <w:rFonts w:ascii="Times New Roman" w:hAnsi="Times New Roman" w:eastAsia="宋体" w:cs="Times New Roman"/>
          <w:kern w:val="0"/>
          <w:szCs w:val="21"/>
        </w:rPr>
      </w:pPr>
      <w:r>
        <w:rPr>
          <w:rFonts w:ascii="Times New Roman" w:hAnsi="Times New Roman" w:eastAsia="宋体" w:cs="Times New Roman"/>
          <w:kern w:val="0"/>
          <w:szCs w:val="21"/>
        </w:rPr>
        <w:t>二</w:t>
      </w:r>
      <w:r>
        <w:rPr>
          <w:rFonts w:hint="eastAsia" w:ascii="Times New Roman" w:hAnsi="Times New Roman" w:eastAsia="宋体" w:cs="Times New Roman"/>
          <w:kern w:val="0"/>
          <w:szCs w:val="21"/>
        </w:rPr>
        <w:t>〇〇</w:t>
      </w:r>
      <w:r>
        <w:rPr>
          <w:rFonts w:ascii="Times New Roman" w:hAnsi="Times New Roman" w:eastAsia="宋体" w:cs="Times New Roman"/>
          <w:kern w:val="0"/>
          <w:szCs w:val="21"/>
        </w:rPr>
        <w:t>二年三月五日</w:t>
      </w:r>
    </w:p>
    <w:p w14:paraId="0ADDB6A9">
      <w:pPr>
        <w:widowControl/>
        <w:shd w:val="clear" w:color="auto" w:fill="FFFFFF"/>
        <w:spacing w:line="400" w:lineRule="exact"/>
        <w:jc w:val="left"/>
        <w:rPr>
          <w:rFonts w:ascii="Times New Roman" w:hAnsi="Times New Roman" w:eastAsia="宋体" w:cs="Times New Roman"/>
          <w:kern w:val="0"/>
          <w:szCs w:val="21"/>
        </w:rPr>
      </w:pPr>
    </w:p>
    <w:p w14:paraId="76B52E15">
      <w:pPr>
        <w:pStyle w:val="2"/>
        <w:spacing w:before="240" w:after="240" w:line="240" w:lineRule="auto"/>
        <w:rPr>
          <w:rFonts w:ascii="Times New Roman" w:hAnsi="Times New Roman" w:eastAsia="宋体" w:cs="Times New Roman"/>
          <w:b w:val="0"/>
          <w:kern w:val="0"/>
          <w:sz w:val="36"/>
          <w:szCs w:val="21"/>
        </w:rPr>
      </w:pPr>
      <w:bookmarkStart w:id="3" w:name="_Toc177025208"/>
      <w:r>
        <w:rPr>
          <w:rFonts w:ascii="Times New Roman" w:hAnsi="Times New Roman" w:eastAsia="宋体" w:cs="Times New Roman"/>
          <w:kern w:val="0"/>
          <w:sz w:val="36"/>
          <w:szCs w:val="21"/>
        </w:rPr>
        <w:t>北京市教师资格教育教学能力测试标准及办法（节选）</w:t>
      </w:r>
      <w:bookmarkEnd w:id="3"/>
    </w:p>
    <w:p w14:paraId="1FB5E0C7">
      <w:pPr>
        <w:widowControl/>
        <w:shd w:val="clear" w:color="auto" w:fill="FFFFFF"/>
        <w:spacing w:line="400" w:lineRule="exact"/>
        <w:jc w:val="center"/>
        <w:rPr>
          <w:rFonts w:ascii="Times New Roman" w:hAnsi="Times New Roman" w:eastAsia="宋体" w:cs="Times New Roman"/>
          <w:kern w:val="0"/>
          <w:szCs w:val="21"/>
        </w:rPr>
      </w:pPr>
    </w:p>
    <w:p w14:paraId="1F7D0398">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为做好北京市教师资格申请人员的教育教学能力测试工作，保证教师资格制度在本市的顺利实施，根据《教师法》、《教师资格条例》、《〈教师资格条例〉实施办法》和北京市贯彻《〈教师资格条例〉实施办法》的实施意见，结合本市教师队伍建设的实际情况，特制定本测试标准和办法。</w:t>
      </w:r>
    </w:p>
    <w:p w14:paraId="19FF94C5">
      <w:pPr>
        <w:widowControl/>
        <w:shd w:val="clear" w:color="auto" w:fill="FFFFFF"/>
        <w:spacing w:before="156" w:beforeLines="50" w:after="156" w:afterLines="50" w:line="400" w:lineRule="exact"/>
        <w:ind w:firstLine="442" w:firstLineChars="200"/>
        <w:jc w:val="left"/>
        <w:outlineLvl w:val="1"/>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一、参加测试人员的基本条件：</w:t>
      </w:r>
    </w:p>
    <w:p w14:paraId="7CFB0608">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（一）具备《教师法》所规定的思想品德和学历要求，尚未达到退休年龄的人员；</w:t>
      </w:r>
    </w:p>
    <w:p w14:paraId="45235126">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（二）身体条件合格；</w:t>
      </w:r>
    </w:p>
    <w:p w14:paraId="76ECFC89">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（三）普通话达到国家规定的标准，具有相应的等级合格证书；</w:t>
      </w:r>
    </w:p>
    <w:p w14:paraId="7CA11CE3">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（四）非师范教育类专业毕业生须取得教育学、心理学考试合格证书。</w:t>
      </w:r>
    </w:p>
    <w:p w14:paraId="4BDE19E3">
      <w:pPr>
        <w:widowControl/>
        <w:shd w:val="clear" w:color="auto" w:fill="FFFFFF"/>
        <w:spacing w:before="156" w:beforeLines="50" w:after="156" w:afterLines="50" w:line="400" w:lineRule="exact"/>
        <w:ind w:firstLine="442" w:firstLineChars="200"/>
        <w:jc w:val="left"/>
        <w:outlineLvl w:val="1"/>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二、教育教学能力测试的原则：</w:t>
      </w:r>
    </w:p>
    <w:p w14:paraId="2294092F">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（一）坚持广揽人才，注重质量的原则；</w:t>
      </w:r>
    </w:p>
    <w:p w14:paraId="2431233F">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（二）坚持客观、公开、公平、公正的原则；</w:t>
      </w:r>
    </w:p>
    <w:p w14:paraId="0C21F331">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（三）坚持定性与定量评价相结合的原则；</w:t>
      </w:r>
    </w:p>
    <w:p w14:paraId="0D7B6756">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（四）坚持发展性评价的原则；</w:t>
      </w:r>
    </w:p>
    <w:p w14:paraId="5237FB20">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（五）坚持体现现代教育理念的原则。</w:t>
      </w:r>
    </w:p>
    <w:p w14:paraId="48A9CCE5">
      <w:pPr>
        <w:widowControl/>
        <w:shd w:val="clear" w:color="auto" w:fill="FFFFFF"/>
        <w:spacing w:before="156" w:beforeLines="50" w:after="156" w:afterLines="50" w:line="400" w:lineRule="exact"/>
        <w:ind w:firstLine="442" w:firstLineChars="200"/>
        <w:jc w:val="left"/>
        <w:outlineLvl w:val="1"/>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三、教育教学能力测试的总体要求</w:t>
      </w:r>
    </w:p>
    <w:p w14:paraId="352657F7">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（一）遵守国家法律、法规，具有教师必备的职业道德修养和良好的心理素质；</w:t>
      </w:r>
    </w:p>
    <w:p w14:paraId="1B09725A">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（二）具有现代教育理念、扎实的专业知识和较为广博的相关学科知识；</w:t>
      </w:r>
    </w:p>
    <w:p w14:paraId="5474B572">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（三）能正确理解教学大纲，熟悉本学科内容，进行教学设计，写出教案；</w:t>
      </w:r>
    </w:p>
    <w:p w14:paraId="1C61AC96">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（四）能较好地运用教学语言、教学方法、教学技能组织实施教学设计；能运用现代教育技术手段组织教学活动；</w:t>
      </w:r>
    </w:p>
    <w:p w14:paraId="6A26A59F">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（五）能够对自己的教学过程与效果进行自我评价和分析，并进行适当地调节和改进；</w:t>
      </w:r>
    </w:p>
    <w:p w14:paraId="67ACA844">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（六）具有教学研究和科学研究的能力。</w:t>
      </w:r>
    </w:p>
    <w:p w14:paraId="65C01AEF">
      <w:pPr>
        <w:widowControl/>
        <w:shd w:val="clear" w:color="auto" w:fill="FFFFFF"/>
        <w:spacing w:before="156" w:beforeLines="50" w:after="156" w:afterLines="50" w:line="400" w:lineRule="exact"/>
        <w:ind w:firstLine="442" w:firstLineChars="200"/>
        <w:jc w:val="left"/>
        <w:outlineLvl w:val="1"/>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四、教育教学能力测试的标准</w:t>
      </w:r>
    </w:p>
    <w:p w14:paraId="15D621B0">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教育教学能力测试的成绩满分100分，分为A、B、C、D四级，100-90分为A级，89-75分为B级，74-60分为C级，60分（不含60分）以下为D级。A、B、C级为合格。</w:t>
      </w:r>
    </w:p>
    <w:p w14:paraId="52D70EC4">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（一）幼儿园教师资格教育教学能力测试的标准</w:t>
      </w:r>
    </w:p>
    <w:p w14:paraId="1F5E4707">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（二）小学教师资格教育教学能力测试的标准</w:t>
      </w:r>
    </w:p>
    <w:p w14:paraId="7ED79881">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（三）初级中学教师资格教育教学能力测试的标准</w:t>
      </w:r>
    </w:p>
    <w:p w14:paraId="30027936">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（四）高级中学教师资格教育教学能力测试的标准</w:t>
      </w:r>
    </w:p>
    <w:p w14:paraId="69F0D944">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（五）中等职业学校教师资格教育教学能力测试的标准</w:t>
      </w:r>
    </w:p>
    <w:p w14:paraId="57CBFEF0">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（六）中等职业学校实习指导教师资格教育教学能力测试的标准</w:t>
      </w:r>
    </w:p>
    <w:p w14:paraId="480012FB">
      <w:pPr>
        <w:widowControl/>
        <w:shd w:val="clear" w:color="auto" w:fill="FFFFFF"/>
        <w:spacing w:before="156" w:beforeLines="50" w:after="156" w:afterLines="50" w:line="400" w:lineRule="exact"/>
        <w:ind w:firstLine="442" w:firstLineChars="200"/>
        <w:jc w:val="left"/>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（七）高等学校教师资格教育教学能力测试的标准</w:t>
      </w:r>
    </w:p>
    <w:p w14:paraId="45E50033">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高等学校教师资格教育教学能力主要从职业道德及心理素质、专业理论知识、教学能力、现代教育技术应用能力、外语能力、自我评价和综合表现七个方面进行测试。具体标准规定如下：</w:t>
      </w:r>
    </w:p>
    <w:p w14:paraId="7D457645">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1．职业道德和心理素质：热爱教育事业，遵守教师职业道德规范，热爱学生，注重教书育人，心理健康。</w:t>
      </w:r>
    </w:p>
    <w:p w14:paraId="6CD73BC9">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2．专业理论知识：具有扎实的本专业知识，具有较为广博的相关学科知识，了解当前教学改革中的有关问题。</w:t>
      </w:r>
    </w:p>
    <w:p w14:paraId="181D7EA4">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3．教学能力：选择教育教学内容和方法得当，设计教学方案合理，掌握和运用教育学、心理学知识的能力较强，语言表达简练、生动、流畅。</w:t>
      </w:r>
    </w:p>
    <w:p w14:paraId="3E900D5B">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4．现代教育技术应用能力：能较熟练地操作计算机，并运用现代教学手段进行教学。具有教育部高等学校教育技术协作委员会颁发的“教育技术等级证书”者，可免于此项测试。</w:t>
      </w:r>
    </w:p>
    <w:p w14:paraId="375D233E">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5．外语水平：掌握一门以上外语，达到大学外语六级以上水平，具有较强的综合运用语言的能力。具有大学英语六级（其他语种参照执行）或硕士以上学位证书者，可免于此项测试。</w:t>
      </w:r>
    </w:p>
    <w:p w14:paraId="0B1DCA6F">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6．自我评价：能对教学过程、师生状态、教学效果进行评价和反思，达到改进教学的目的。</w:t>
      </w:r>
    </w:p>
    <w:p w14:paraId="10EBADB0">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7．综合表现：有扎实的专业知识和较为广博的相关学科知识；教学效果良好；具有较好的科学研究能力和潜能；培养学生科学意识、创新能力的意图比较明显，具备教书育人的能力和基本素质。</w:t>
      </w:r>
    </w:p>
    <w:p w14:paraId="3C72F69B">
      <w:pPr>
        <w:widowControl/>
        <w:shd w:val="clear" w:color="auto" w:fill="FFFFFF"/>
        <w:spacing w:before="156" w:beforeLines="50" w:after="156" w:afterLines="50" w:line="400" w:lineRule="exact"/>
        <w:ind w:firstLine="442" w:firstLineChars="200"/>
        <w:jc w:val="left"/>
        <w:outlineLvl w:val="1"/>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五、教育教学能力测试的程序</w:t>
      </w:r>
    </w:p>
    <w:p w14:paraId="216B5E98">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（一）教师资格认定机构公布教师资格认定教育教学能力测试的申请程序及具体测试时间、地点；</w:t>
      </w:r>
    </w:p>
    <w:p w14:paraId="2F18AF3B">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（二）在专家审查委员会的指导下，各专业评议组确定测试题目，并至少提前一周通知申请人员；</w:t>
      </w:r>
    </w:p>
    <w:p w14:paraId="6107453F">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（三）申请人员按时到测试地点备考，并在测试前30分钟提交所讲内容的教案或活动设计方案3至5份；</w:t>
      </w:r>
    </w:p>
    <w:p w14:paraId="6EF8616B">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（四）测试开始后，首先由申请人试讲或组织活动20-30分钟，内容为教案或活动设计方案中最能代表本人教育教学技能的部分；</w:t>
      </w:r>
    </w:p>
    <w:p w14:paraId="49BE366A">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（五）申请人员对自己所讲授的内容或组织的活动进行5分钟的自我评价；</w:t>
      </w:r>
    </w:p>
    <w:p w14:paraId="213A53C1">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（六）学科专家评议组针对申请人所讲授的内容或组织的活动进行提问，由申请人当场答辩，时间为15-20分钟；</w:t>
      </w:r>
    </w:p>
    <w:p w14:paraId="55ABE562">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（七）专家评议组对照评价标准给申请人打出恰当的评分，汇总后得出测试结果。</w:t>
      </w:r>
    </w:p>
    <w:p w14:paraId="3E8BCB60">
      <w:pPr>
        <w:widowControl/>
        <w:shd w:val="clear" w:color="auto" w:fill="FFFFFF"/>
        <w:spacing w:before="156" w:beforeLines="50" w:after="156" w:afterLines="50" w:line="400" w:lineRule="exact"/>
        <w:ind w:firstLine="442" w:firstLineChars="200"/>
        <w:jc w:val="left"/>
        <w:outlineLvl w:val="1"/>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六、教育教学能力测试的组织管理和要求：</w:t>
      </w:r>
    </w:p>
    <w:p w14:paraId="1405F57F">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（一）各教师资格认定机构成立专家审查委员会。专家审查委员会实行任期制，每届任期三年，委员会成员名单在任期内不得对外公布。</w:t>
      </w:r>
    </w:p>
    <w:p w14:paraId="43A7D7E3">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二）专家审查委员会下设各学科的专家评议组。专家评议组成员上岗前必须进行培训，以了解测试的目的、要求及相应的程序。按照测试办法和程序对申请认定教师资格的人员进行教育教学能力测试，提出审查意见，并由专家评议组组长签名盖章。</w:t>
      </w:r>
    </w:p>
    <w:p w14:paraId="1911F5A3">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（三）专家审查委员会对各专业评议组报送的测试结果进行审查。</w:t>
      </w:r>
    </w:p>
    <w:p w14:paraId="61091D58">
      <w:pPr>
        <w:widowControl/>
        <w:shd w:val="clear" w:color="auto" w:fill="FFFFFF"/>
        <w:spacing w:line="400" w:lineRule="exact"/>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（四）专家审查委员会将审查结果报教师资格认定机构。</w:t>
      </w:r>
    </w:p>
    <w:p w14:paraId="35B79C79">
      <w:pPr>
        <w:widowControl/>
        <w:shd w:val="clear" w:color="auto" w:fill="FFFFFF"/>
        <w:spacing w:before="156" w:beforeLines="50" w:after="156" w:afterLines="50" w:line="400" w:lineRule="exact"/>
        <w:ind w:firstLine="442" w:firstLineChars="200"/>
        <w:jc w:val="left"/>
        <w:rPr>
          <w:rFonts w:ascii="Times New Roman" w:hAnsi="Times New Roman" w:eastAsia="宋体" w:cs="Times New Roman"/>
          <w:b/>
          <w:kern w:val="0"/>
          <w:sz w:val="22"/>
          <w:szCs w:val="21"/>
        </w:rPr>
      </w:pPr>
      <w:r>
        <w:rPr>
          <w:rFonts w:ascii="Times New Roman" w:hAnsi="Times New Roman" w:eastAsia="宋体" w:cs="Times New Roman"/>
          <w:b/>
          <w:kern w:val="0"/>
          <w:sz w:val="22"/>
          <w:szCs w:val="21"/>
        </w:rPr>
        <w:t>七、本办法自发文之日起执行。由北京市教育委员会负责解释。</w:t>
      </w:r>
    </w:p>
    <w:p w14:paraId="2F1B0C7A">
      <w:pPr>
        <w:spacing w:after="156" w:afterLines="50" w:line="500" w:lineRule="exact"/>
        <w:rPr>
          <w:rFonts w:ascii="Times New Roman" w:hAnsi="Times New Roman" w:eastAsia="宋体" w:cs="Times New Roman"/>
          <w:kern w:val="0"/>
          <w:sz w:val="28"/>
          <w:szCs w:val="21"/>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9F2"/>
    <w:rsid w:val="00012047"/>
    <w:rsid w:val="00015063"/>
    <w:rsid w:val="00015952"/>
    <w:rsid w:val="00032A2A"/>
    <w:rsid w:val="000423F5"/>
    <w:rsid w:val="0004485D"/>
    <w:rsid w:val="000B5D16"/>
    <w:rsid w:val="000C77DA"/>
    <w:rsid w:val="000E76EE"/>
    <w:rsid w:val="000F5CB3"/>
    <w:rsid w:val="000F785B"/>
    <w:rsid w:val="00114C7B"/>
    <w:rsid w:val="00116E28"/>
    <w:rsid w:val="00124940"/>
    <w:rsid w:val="00127A5F"/>
    <w:rsid w:val="0013553D"/>
    <w:rsid w:val="0015136A"/>
    <w:rsid w:val="00154368"/>
    <w:rsid w:val="00172794"/>
    <w:rsid w:val="00186AE7"/>
    <w:rsid w:val="00196DE0"/>
    <w:rsid w:val="001B45C2"/>
    <w:rsid w:val="001C0C66"/>
    <w:rsid w:val="00237987"/>
    <w:rsid w:val="002B7692"/>
    <w:rsid w:val="00322B32"/>
    <w:rsid w:val="00335BE4"/>
    <w:rsid w:val="00361E9F"/>
    <w:rsid w:val="00364AF6"/>
    <w:rsid w:val="00372ADF"/>
    <w:rsid w:val="003818BB"/>
    <w:rsid w:val="00394FC7"/>
    <w:rsid w:val="003C6038"/>
    <w:rsid w:val="003F29F2"/>
    <w:rsid w:val="003F38D6"/>
    <w:rsid w:val="00420066"/>
    <w:rsid w:val="00444F1F"/>
    <w:rsid w:val="0046789F"/>
    <w:rsid w:val="00496C43"/>
    <w:rsid w:val="00497F62"/>
    <w:rsid w:val="004B1A26"/>
    <w:rsid w:val="004B3D0C"/>
    <w:rsid w:val="004E0B19"/>
    <w:rsid w:val="005029B2"/>
    <w:rsid w:val="0050537A"/>
    <w:rsid w:val="0054683A"/>
    <w:rsid w:val="00590E84"/>
    <w:rsid w:val="00594569"/>
    <w:rsid w:val="005B280C"/>
    <w:rsid w:val="005E6A1E"/>
    <w:rsid w:val="005F1164"/>
    <w:rsid w:val="005F4E63"/>
    <w:rsid w:val="0067221E"/>
    <w:rsid w:val="006E0B1D"/>
    <w:rsid w:val="006F1760"/>
    <w:rsid w:val="00713447"/>
    <w:rsid w:val="007406F9"/>
    <w:rsid w:val="007531AC"/>
    <w:rsid w:val="00770FF6"/>
    <w:rsid w:val="007731E3"/>
    <w:rsid w:val="00775FE6"/>
    <w:rsid w:val="0078455C"/>
    <w:rsid w:val="00785052"/>
    <w:rsid w:val="007A6DEC"/>
    <w:rsid w:val="007C342F"/>
    <w:rsid w:val="007D2C9C"/>
    <w:rsid w:val="007E2722"/>
    <w:rsid w:val="007E743D"/>
    <w:rsid w:val="00820575"/>
    <w:rsid w:val="00830E4F"/>
    <w:rsid w:val="00841B9E"/>
    <w:rsid w:val="00864E53"/>
    <w:rsid w:val="00870428"/>
    <w:rsid w:val="008A0C0E"/>
    <w:rsid w:val="008F10A1"/>
    <w:rsid w:val="009000E3"/>
    <w:rsid w:val="00901148"/>
    <w:rsid w:val="00955C40"/>
    <w:rsid w:val="009A4740"/>
    <w:rsid w:val="009B3DA9"/>
    <w:rsid w:val="009C2AEE"/>
    <w:rsid w:val="009D072C"/>
    <w:rsid w:val="00A20928"/>
    <w:rsid w:val="00A60D52"/>
    <w:rsid w:val="00A65E45"/>
    <w:rsid w:val="00A7333B"/>
    <w:rsid w:val="00A75876"/>
    <w:rsid w:val="00A809EC"/>
    <w:rsid w:val="00A8273A"/>
    <w:rsid w:val="00A83193"/>
    <w:rsid w:val="00AB525A"/>
    <w:rsid w:val="00B00CEB"/>
    <w:rsid w:val="00B01DA1"/>
    <w:rsid w:val="00B048B9"/>
    <w:rsid w:val="00B27DB3"/>
    <w:rsid w:val="00B56568"/>
    <w:rsid w:val="00B83BB1"/>
    <w:rsid w:val="00B85D49"/>
    <w:rsid w:val="00B96C8A"/>
    <w:rsid w:val="00BA7E0D"/>
    <w:rsid w:val="00C21C83"/>
    <w:rsid w:val="00C32EF2"/>
    <w:rsid w:val="00C37CB9"/>
    <w:rsid w:val="00C74582"/>
    <w:rsid w:val="00C76982"/>
    <w:rsid w:val="00CC3C15"/>
    <w:rsid w:val="00D23E63"/>
    <w:rsid w:val="00D33999"/>
    <w:rsid w:val="00D35D13"/>
    <w:rsid w:val="00D4515C"/>
    <w:rsid w:val="00D456CF"/>
    <w:rsid w:val="00D66AFB"/>
    <w:rsid w:val="00D674CF"/>
    <w:rsid w:val="00D71FAB"/>
    <w:rsid w:val="00DD564B"/>
    <w:rsid w:val="00DD66D4"/>
    <w:rsid w:val="00DF39CD"/>
    <w:rsid w:val="00E04F50"/>
    <w:rsid w:val="00E14F47"/>
    <w:rsid w:val="00E20FA6"/>
    <w:rsid w:val="00E271B3"/>
    <w:rsid w:val="00E87A9C"/>
    <w:rsid w:val="00EB343A"/>
    <w:rsid w:val="00EC3B11"/>
    <w:rsid w:val="00ED69F1"/>
    <w:rsid w:val="00EF437C"/>
    <w:rsid w:val="00F30BCC"/>
    <w:rsid w:val="00F358E0"/>
    <w:rsid w:val="00F42358"/>
    <w:rsid w:val="00F54516"/>
    <w:rsid w:val="00F714D2"/>
    <w:rsid w:val="00F75385"/>
    <w:rsid w:val="00F86412"/>
    <w:rsid w:val="00F970ED"/>
    <w:rsid w:val="00FA2BAC"/>
    <w:rsid w:val="00FB0494"/>
    <w:rsid w:val="00FB6D45"/>
    <w:rsid w:val="00FB70D8"/>
    <w:rsid w:val="00FC5673"/>
    <w:rsid w:val="00FF5EDA"/>
    <w:rsid w:val="057B6645"/>
    <w:rsid w:val="0A23739A"/>
    <w:rsid w:val="22D6535B"/>
    <w:rsid w:val="42327A2E"/>
    <w:rsid w:val="56F364CD"/>
    <w:rsid w:val="7DCD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unhideWhenUsed/>
    <w:uiPriority w:val="99"/>
    <w:pPr>
      <w:jc w:val="left"/>
    </w:pPr>
  </w:style>
  <w:style w:type="paragraph" w:styleId="4">
    <w:name w:val="Balloon Text"/>
    <w:basedOn w:val="1"/>
    <w:link w:val="19"/>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paragraph" w:styleId="8">
    <w:name w:val="toc 2"/>
    <w:basedOn w:val="1"/>
    <w:next w:val="1"/>
    <w:autoRedefine/>
    <w:unhideWhenUsed/>
    <w:uiPriority w:val="39"/>
    <w:pPr>
      <w:ind w:left="420" w:leftChars="200"/>
    </w:pPr>
  </w:style>
  <w:style w:type="paragraph" w:styleId="9">
    <w:name w:val="annotation subject"/>
    <w:basedOn w:val="3"/>
    <w:next w:val="3"/>
    <w:link w:val="18"/>
    <w:semiHidden/>
    <w:unhideWhenUsed/>
    <w:uiPriority w:val="99"/>
    <w:rPr>
      <w:b/>
      <w:bCs/>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uiPriority w:val="99"/>
    <w:rPr>
      <w:color w:val="0563C1" w:themeColor="hyperlink"/>
      <w:u w:val="single"/>
      <w14:textFill>
        <w14:solidFill>
          <w14:schemeClr w14:val="hlink"/>
        </w14:solidFill>
      </w14:textFill>
    </w:rPr>
  </w:style>
  <w:style w:type="character" w:styleId="14">
    <w:name w:val="annotation reference"/>
    <w:basedOn w:val="12"/>
    <w:semiHidden/>
    <w:unhideWhenUsed/>
    <w:uiPriority w:val="99"/>
    <w:rPr>
      <w:sz w:val="21"/>
      <w:szCs w:val="21"/>
    </w:rPr>
  </w:style>
  <w:style w:type="character" w:customStyle="1" w:styleId="15">
    <w:name w:val="页眉 字符"/>
    <w:basedOn w:val="12"/>
    <w:link w:val="6"/>
    <w:uiPriority w:val="99"/>
    <w:rPr>
      <w:sz w:val="18"/>
      <w:szCs w:val="18"/>
    </w:rPr>
  </w:style>
  <w:style w:type="character" w:customStyle="1" w:styleId="16">
    <w:name w:val="页脚 字符"/>
    <w:basedOn w:val="12"/>
    <w:link w:val="5"/>
    <w:uiPriority w:val="99"/>
    <w:rPr>
      <w:sz w:val="18"/>
      <w:szCs w:val="18"/>
    </w:rPr>
  </w:style>
  <w:style w:type="character" w:customStyle="1" w:styleId="17">
    <w:name w:val="批注文字 字符"/>
    <w:basedOn w:val="12"/>
    <w:link w:val="3"/>
    <w:uiPriority w:val="99"/>
  </w:style>
  <w:style w:type="character" w:customStyle="1" w:styleId="18">
    <w:name w:val="批注主题 字符"/>
    <w:basedOn w:val="17"/>
    <w:link w:val="9"/>
    <w:semiHidden/>
    <w:uiPriority w:val="99"/>
    <w:rPr>
      <w:b/>
      <w:bCs/>
    </w:rPr>
  </w:style>
  <w:style w:type="character" w:customStyle="1" w:styleId="19">
    <w:name w:val="批注框文本 字符"/>
    <w:basedOn w:val="12"/>
    <w:link w:val="4"/>
    <w:semiHidden/>
    <w:uiPriority w:val="99"/>
    <w:rPr>
      <w:sz w:val="18"/>
      <w:szCs w:val="18"/>
    </w:rPr>
  </w:style>
  <w:style w:type="character" w:customStyle="1" w:styleId="20">
    <w:name w:val="标题 1 字符"/>
    <w:basedOn w:val="12"/>
    <w:link w:val="2"/>
    <w:uiPriority w:val="9"/>
    <w:rPr>
      <w:b/>
      <w:bCs/>
      <w:kern w:val="44"/>
      <w:sz w:val="44"/>
      <w:szCs w:val="44"/>
    </w:rPr>
  </w:style>
  <w:style w:type="paragraph" w:customStyle="1" w:styleId="2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2">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1123</Words>
  <Characters>1156</Characters>
  <Lines>26</Lines>
  <Paragraphs>7</Paragraphs>
  <TotalTime>14</TotalTime>
  <ScaleCrop>false</ScaleCrop>
  <LinksUpToDate>false</LinksUpToDate>
  <CharactersWithSpaces>1171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2020-10-10T06:39:00Z</dcterms:created>
  <dc:creator>Peng Yuanyuan</dc:creator>
  <cp:lastModifiedBy>彭媛媛</cp:lastModifiedBy>
  <cp:lastPrinted>2022-09-21T02:51:00Z</cp:lastPrinted>
  <dcterms:modified xsi:type="dcterms:W3CDTF">2025-04-16T01:58:19Z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eyJoZGlkIjoiMTE1MmQ5NjgxNjcwNDg2YmY0YTg3ZWJiNWQwY2EwMTkiLCJ1c2VySWQiOiIxNjQ4OTA1MDMyIn0=</vt:lpwstr>
  </property>
  <property fmtid="{D5CDD505-2E9C-101B-9397-08002B2CF9AE}" pid="3" name="KSOProductBuildVer">
    <vt:lpwstr>2052-12.1.0.19302</vt:lpwstr>
  </property>
  <property fmtid="{D5CDD505-2E9C-101B-9397-08002B2CF9AE}" pid="4" name="ICV">
    <vt:lpwstr>23DEB64A24A94989AD735A1886916FA4_12</vt:lpwstr>
  </property>
</Properties>
</file>