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Style w:val="23"/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23"/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</w:t>
      </w:r>
      <w:r>
        <w:rPr>
          <w:rStyle w:val="23"/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通识</w:t>
      </w:r>
      <w:r>
        <w:rPr>
          <w:rStyle w:val="23"/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课程论文格式规范参考</w:t>
      </w:r>
    </w:p>
    <w:p>
      <w:pPr>
        <w:spacing w:before="156" w:beforeLines="50"/>
        <w:jc w:val="center"/>
        <w:rPr>
          <w:rStyle w:val="23"/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3"/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Style w:val="23"/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Style w:val="23"/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23"/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主标题</w:t>
      </w:r>
      <w:r>
        <w:rPr>
          <w:rStyle w:val="23"/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23"/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宋体 三号字）</w:t>
      </w:r>
    </w:p>
    <w:p>
      <w:pPr>
        <w:spacing w:before="156" w:beforeLines="50"/>
        <w:jc w:val="center"/>
        <w:rPr>
          <w:rStyle w:val="23"/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——副标题（宋体，四号字，若无副标题，请删除）</w:t>
      </w:r>
    </w:p>
    <w:p>
      <w:pPr>
        <w:spacing w:line="400" w:lineRule="exac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【</w:t>
      </w:r>
      <w:r>
        <w:rPr>
          <w:rFonts w:hint="eastAsia" w:ascii="宋体" w:hAnsi="宋体" w:eastAsia="宋体"/>
          <w:b/>
          <w:sz w:val="24"/>
        </w:rPr>
        <w:t>摘要</w:t>
      </w:r>
      <w:r>
        <w:rPr>
          <w:rFonts w:ascii="宋体" w:hAnsi="宋体" w:eastAsia="宋体"/>
          <w:b/>
          <w:sz w:val="24"/>
        </w:rPr>
        <w:t>】</w:t>
      </w:r>
    </w:p>
    <w:p>
      <w:pPr>
        <w:spacing w:line="400" w:lineRule="exact"/>
        <w:ind w:firstLine="42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</w:rPr>
        <w:t>一般不超过</w:t>
      </w:r>
      <w:r>
        <w:rPr>
          <w:rFonts w:ascii="宋体" w:hAnsi="宋体" w:eastAsia="宋体" w:cs="Times New Roman"/>
          <w:sz w:val="24"/>
        </w:rPr>
        <w:t>300</w:t>
      </w:r>
      <w:r>
        <w:rPr>
          <w:rFonts w:hint="eastAsia" w:ascii="宋体" w:hAnsi="宋体" w:eastAsia="宋体"/>
          <w:sz w:val="24"/>
        </w:rPr>
        <w:t>字，摘要应建立在对论文进行总结的基础上，对文章内容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结构和观点进行的概括，供读者清楚了解、论文提出的问题、采用的证据和得出的结论。字体为宋体小四号字。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摘要中不应出现“本文”“本研究”等表述。</w:t>
      </w:r>
    </w:p>
    <w:p>
      <w:pPr>
        <w:spacing w:line="400" w:lineRule="exac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【</w:t>
      </w:r>
      <w:r>
        <w:rPr>
          <w:rFonts w:hint="eastAsia" w:ascii="宋体" w:hAnsi="宋体" w:eastAsia="宋体"/>
          <w:b/>
          <w:sz w:val="24"/>
        </w:rPr>
        <w:t>关键词</w:t>
      </w:r>
      <w:r>
        <w:rPr>
          <w:rFonts w:ascii="宋体" w:hAnsi="宋体" w:eastAsia="宋体"/>
          <w:b/>
          <w:sz w:val="24"/>
        </w:rPr>
        <w:t>】</w:t>
      </w:r>
    </w:p>
    <w:p>
      <w:pPr>
        <w:spacing w:line="400" w:lineRule="exact"/>
        <w:ind w:firstLine="480" w:firstLineChars="200"/>
        <w:rPr>
          <w:rFonts w:ascii="宋体" w:hAnsi="宋体" w:eastAsia="宋体"/>
          <w:snapToGrid w:val="0"/>
          <w:spacing w:val="-8"/>
          <w:sz w:val="24"/>
        </w:rPr>
      </w:pPr>
      <w:r>
        <w:rPr>
          <w:rFonts w:hint="eastAsia" w:ascii="宋体" w:hAnsi="宋体" w:eastAsia="宋体"/>
          <w:sz w:val="24"/>
        </w:rPr>
        <w:t>关键词</w:t>
      </w:r>
      <w:r>
        <w:rPr>
          <w:rFonts w:hint="eastAsia" w:ascii="宋体" w:hAnsi="宋体" w:eastAsia="宋体"/>
          <w:snapToGrid w:val="0"/>
          <w:spacing w:val="-8"/>
          <w:sz w:val="24"/>
        </w:rPr>
        <w:t>控制在</w:t>
      </w:r>
      <w:r>
        <w:rPr>
          <w:rFonts w:ascii="Times New Roman" w:hAnsi="Times New Roman" w:eastAsia="宋体" w:cs="Times New Roman"/>
          <w:snapToGrid w:val="0"/>
          <w:spacing w:val="-8"/>
          <w:sz w:val="24"/>
        </w:rPr>
        <w:t>3</w:t>
      </w:r>
      <w:r>
        <w:rPr>
          <w:rFonts w:hint="eastAsia" w:ascii="Times New Roman" w:hAnsi="Times New Roman" w:eastAsia="宋体" w:cs="Times New Roman"/>
          <w:snapToGrid w:val="0"/>
          <w:spacing w:val="-8"/>
          <w:sz w:val="24"/>
        </w:rPr>
        <w:t>—</w:t>
      </w:r>
      <w:r>
        <w:rPr>
          <w:rFonts w:ascii="Times New Roman" w:hAnsi="Times New Roman" w:eastAsia="宋体" w:cs="Times New Roman"/>
          <w:snapToGrid w:val="0"/>
          <w:spacing w:val="-8"/>
          <w:sz w:val="24"/>
        </w:rPr>
        <w:t>5个之间，一般不超过3</w:t>
      </w:r>
      <w:r>
        <w:rPr>
          <w:rFonts w:hint="eastAsia" w:ascii="宋体" w:hAnsi="宋体" w:eastAsia="宋体"/>
          <w:snapToGrid w:val="0"/>
          <w:spacing w:val="-8"/>
          <w:sz w:val="24"/>
        </w:rPr>
        <w:t>个。字体为宋体小四号字。摘要与关键词之间不空行，关键词与正文之间空1行</w:t>
      </w:r>
      <w:r>
        <w:rPr>
          <w:rFonts w:ascii="宋体" w:hAnsi="宋体" w:eastAsia="宋体"/>
          <w:snapToGrid w:val="0"/>
          <w:spacing w:val="-8"/>
          <w:sz w:val="24"/>
        </w:rPr>
        <w:t>。</w:t>
      </w:r>
    </w:p>
    <w:p>
      <w:pPr>
        <w:spacing w:line="400" w:lineRule="exact"/>
        <w:rPr>
          <w:rFonts w:ascii="宋体" w:hAnsi="宋体" w:eastAsia="宋体"/>
          <w:sz w:val="24"/>
        </w:rPr>
      </w:pPr>
    </w:p>
    <w:p>
      <w:pPr>
        <w:spacing w:line="400" w:lineRule="exac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【</w:t>
      </w:r>
      <w:r>
        <w:rPr>
          <w:rFonts w:hint="eastAsia" w:ascii="宋体" w:hAnsi="宋体" w:eastAsia="宋体"/>
          <w:b/>
          <w:sz w:val="24"/>
        </w:rPr>
        <w:t>正文</w:t>
      </w:r>
      <w:r>
        <w:rPr>
          <w:rFonts w:ascii="宋体" w:hAnsi="宋体" w:eastAsia="宋体"/>
          <w:b/>
          <w:sz w:val="24"/>
        </w:rPr>
        <w:t>】</w:t>
      </w:r>
    </w:p>
    <w:p>
      <w:pPr>
        <w:spacing w:line="400" w:lineRule="exact"/>
        <w:ind w:firstLine="600" w:firstLineChars="25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一、</w:t>
      </w:r>
      <w:r>
        <w:rPr>
          <w:rFonts w:hint="eastAsia" w:ascii="宋体" w:hAnsi="宋体" w:eastAsia="宋体"/>
          <w:sz w:val="24"/>
        </w:rPr>
        <w:t>（用于论文小标题）</w:t>
      </w:r>
    </w:p>
    <w:p>
      <w:pPr>
        <w:spacing w:line="40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sz w:val="24"/>
        </w:rPr>
        <w:t>（一）（用于重要段落的划分）</w:t>
      </w:r>
    </w:p>
    <w:p>
      <w:pPr>
        <w:spacing w:line="400" w:lineRule="exact"/>
        <w:ind w:firstLine="480" w:firstLineChars="200"/>
        <w:rPr>
          <w:rFonts w:ascii="宋体" w:hAnsi="宋体" w:eastAsia="宋体"/>
          <w:bCs/>
          <w:sz w:val="24"/>
        </w:rPr>
      </w:pPr>
      <w:bookmarkStart w:id="1" w:name="_GoBack"/>
      <w:bookmarkEnd w:id="1"/>
      <w:r>
        <w:rPr>
          <w:rFonts w:hint="eastAsia" w:ascii="宋体" w:hAnsi="宋体" w:eastAsia="宋体"/>
          <w:sz w:val="24"/>
        </w:rPr>
        <w:t>1.（用于要点的排列）</w:t>
      </w:r>
    </w:p>
    <w:p>
      <w:pPr>
        <w:spacing w:line="40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关于正文内容的说明：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一级标题用“一、”标注，二级标题用“（一）”标注，三级用阿拉伯数字如“1．”标注，标题应控制在三级之内。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正文内容为中文采用宋体小四号字两端对齐、英文及数字采用Times New Roman字体小四号字，段落首行空两字，段落间不空行。固定行距2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磅</w:t>
      </w:r>
      <w:r>
        <w:rPr>
          <w:rFonts w:ascii="宋体" w:hAnsi="宋体" w:eastAsia="宋体"/>
          <w:sz w:val="24"/>
        </w:rPr>
        <w:t>。</w:t>
      </w:r>
      <w:r>
        <w:rPr>
          <w:rFonts w:hint="eastAsia" w:ascii="宋体" w:hAnsi="宋体" w:eastAsia="宋体"/>
          <w:sz w:val="24"/>
        </w:rPr>
        <w:t>段落间距都为零，字体颜色统一为默认黑色。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论文正文中有关</w:t>
      </w:r>
      <w:r>
        <w:rPr>
          <w:rFonts w:ascii="宋体" w:hAnsi="宋体" w:eastAsia="宋体"/>
          <w:b/>
          <w:sz w:val="24"/>
        </w:rPr>
        <w:t>图</w:t>
      </w:r>
      <w:r>
        <w:rPr>
          <w:rFonts w:hint="eastAsia" w:ascii="宋体" w:hAnsi="宋体" w:eastAsia="宋体"/>
          <w:b/>
          <w:sz w:val="24"/>
        </w:rPr>
        <w:t>、</w:t>
      </w:r>
      <w:r>
        <w:rPr>
          <w:rFonts w:ascii="宋体" w:hAnsi="宋体" w:eastAsia="宋体"/>
          <w:b/>
          <w:sz w:val="24"/>
        </w:rPr>
        <w:t>表</w:t>
      </w:r>
      <w:r>
        <w:rPr>
          <w:rFonts w:hint="eastAsia" w:ascii="宋体" w:hAnsi="宋体" w:eastAsia="宋体"/>
          <w:b/>
          <w:sz w:val="24"/>
        </w:rPr>
        <w:t>、公式</w:t>
      </w:r>
      <w:r>
        <w:rPr>
          <w:rFonts w:hint="eastAsia" w:ascii="宋体" w:hAnsi="宋体" w:eastAsia="宋体"/>
          <w:sz w:val="24"/>
        </w:rPr>
        <w:t>的规范</w:t>
      </w:r>
      <w:r>
        <w:rPr>
          <w:rFonts w:ascii="宋体" w:hAnsi="宋体" w:eastAsia="宋体"/>
          <w:sz w:val="24"/>
        </w:rPr>
        <w:t>格式</w:t>
      </w:r>
      <w:r>
        <w:rPr>
          <w:rFonts w:hint="eastAsia" w:ascii="宋体" w:hAnsi="宋体" w:eastAsia="宋体"/>
          <w:sz w:val="24"/>
        </w:rPr>
        <w:t>及要求。</w:t>
      </w:r>
    </w:p>
    <w:p>
      <w:pPr>
        <w:spacing w:line="400" w:lineRule="exact"/>
        <w:ind w:left="7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</w:t>
      </w:r>
      <w:r>
        <w:rPr>
          <w:rFonts w:ascii="宋体" w:hAnsi="宋体" w:eastAsia="宋体"/>
          <w:sz w:val="24"/>
        </w:rPr>
        <w:t>图片的格式</w:t>
      </w:r>
      <w:r>
        <w:rPr>
          <w:rFonts w:hint="eastAsia" w:ascii="宋体" w:hAnsi="宋体" w:eastAsia="宋体"/>
          <w:sz w:val="24"/>
        </w:rPr>
        <w:t>规范要求</w:t>
      </w:r>
    </w:p>
    <w:p>
      <w:pPr>
        <w:pStyle w:val="20"/>
        <w:numPr>
          <w:ilvl w:val="1"/>
          <w:numId w:val="2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形式：</w:t>
      </w:r>
      <w:r>
        <w:rPr>
          <w:rFonts w:hint="eastAsia" w:ascii="宋体" w:hAnsi="宋体" w:eastAsia="宋体"/>
          <w:sz w:val="24"/>
        </w:rPr>
        <w:t>各种框图、流程图，须通过w</w:t>
      </w:r>
      <w:r>
        <w:rPr>
          <w:rFonts w:ascii="宋体" w:hAnsi="宋体" w:eastAsia="宋体"/>
          <w:sz w:val="24"/>
        </w:rPr>
        <w:t xml:space="preserve">ord </w:t>
      </w:r>
      <w:r>
        <w:rPr>
          <w:rFonts w:hint="eastAsia" w:ascii="宋体" w:hAnsi="宋体" w:eastAsia="宋体"/>
          <w:sz w:val="24"/>
        </w:rPr>
        <w:t>的绘图工具或使用V</w:t>
      </w:r>
      <w:r>
        <w:rPr>
          <w:rFonts w:ascii="宋体" w:hAnsi="宋体" w:eastAsia="宋体"/>
          <w:sz w:val="24"/>
        </w:rPr>
        <w:t>isio</w:t>
      </w:r>
      <w:r>
        <w:rPr>
          <w:rFonts w:hint="eastAsia" w:ascii="宋体" w:hAnsi="宋体" w:eastAsia="宋体"/>
          <w:sz w:val="24"/>
        </w:rPr>
        <w:t>等专业的制图软件进行制图</w:t>
      </w:r>
      <w:r>
        <w:rPr>
          <w:rFonts w:ascii="宋体" w:hAnsi="宋体" w:eastAsia="宋体"/>
          <w:sz w:val="24"/>
        </w:rPr>
        <w:t>；</w:t>
      </w:r>
    </w:p>
    <w:p>
      <w:pPr>
        <w:pStyle w:val="20"/>
        <w:numPr>
          <w:ilvl w:val="1"/>
          <w:numId w:val="2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sz w:val="24"/>
        </w:rPr>
        <w:t>位置：</w:t>
      </w:r>
      <w:r>
        <w:rPr>
          <w:rFonts w:ascii="宋体" w:hAnsi="宋体" w:eastAsia="宋体"/>
          <w:sz w:val="24"/>
        </w:rPr>
        <w:t>插入文章的各类型图都应居中，并按排版需要调整大小，但图片宽度不应超过正文文本宽度；</w:t>
      </w:r>
    </w:p>
    <w:p>
      <w:pPr>
        <w:pStyle w:val="20"/>
        <w:numPr>
          <w:ilvl w:val="1"/>
          <w:numId w:val="2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sz w:val="24"/>
        </w:rPr>
        <w:t>图题：</w:t>
      </w:r>
      <w:r>
        <w:rPr>
          <w:rFonts w:ascii="宋体" w:hAnsi="宋体" w:eastAsia="宋体"/>
          <w:sz w:val="24"/>
        </w:rPr>
        <w:t>图题在图片下方，包含图序和图名，图序与图名之间应留1 个同类字符的空隙；居中，字体黑体加粗，字号比正文小一号。图序使用阿拉伯数字依序编排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0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（2）表格</w:t>
      </w:r>
      <w:r>
        <w:rPr>
          <w:rFonts w:ascii="宋体" w:hAnsi="宋体" w:eastAsia="宋体"/>
          <w:sz w:val="24"/>
        </w:rPr>
        <w:t>的格式</w:t>
      </w:r>
      <w:r>
        <w:rPr>
          <w:rFonts w:hint="eastAsia" w:ascii="宋体" w:hAnsi="宋体" w:eastAsia="宋体"/>
          <w:sz w:val="24"/>
        </w:rPr>
        <w:t>规范要求</w:t>
      </w:r>
    </w:p>
    <w:p>
      <w:pPr>
        <w:pStyle w:val="20"/>
        <w:numPr>
          <w:ilvl w:val="1"/>
          <w:numId w:val="3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形式：</w:t>
      </w:r>
      <w:r>
        <w:rPr>
          <w:rFonts w:hint="eastAsia" w:ascii="宋体" w:hAnsi="宋体" w:eastAsia="宋体"/>
          <w:sz w:val="24"/>
        </w:rPr>
        <w:t>论文中的各种表须使用在w</w:t>
      </w:r>
      <w:r>
        <w:rPr>
          <w:rFonts w:ascii="宋体" w:hAnsi="宋体" w:eastAsia="宋体"/>
          <w:sz w:val="24"/>
        </w:rPr>
        <w:t xml:space="preserve">ord </w:t>
      </w:r>
      <w:r>
        <w:rPr>
          <w:rFonts w:hint="eastAsia" w:ascii="宋体" w:hAnsi="宋体" w:eastAsia="宋体"/>
          <w:sz w:val="24"/>
        </w:rPr>
        <w:t>文档中插入表格的形式进行表格的绘制</w:t>
      </w:r>
      <w:r>
        <w:rPr>
          <w:rFonts w:ascii="宋体" w:hAnsi="宋体" w:eastAsia="宋体"/>
          <w:sz w:val="24"/>
        </w:rPr>
        <w:t>；</w:t>
      </w:r>
    </w:p>
    <w:p>
      <w:pPr>
        <w:pStyle w:val="20"/>
        <w:numPr>
          <w:ilvl w:val="1"/>
          <w:numId w:val="3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sz w:val="24"/>
        </w:rPr>
        <w:t>位置：</w:t>
      </w:r>
      <w:r>
        <w:rPr>
          <w:rFonts w:ascii="宋体" w:hAnsi="宋体" w:eastAsia="宋体"/>
          <w:sz w:val="24"/>
        </w:rPr>
        <w:t>表格应居中放置，大小适中，宽度不宜超过论文文本宽度；</w:t>
      </w:r>
    </w:p>
    <w:p>
      <w:pPr>
        <w:pStyle w:val="20"/>
        <w:numPr>
          <w:ilvl w:val="1"/>
          <w:numId w:val="3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sz w:val="24"/>
        </w:rPr>
        <w:t>表头：</w:t>
      </w:r>
      <w:r>
        <w:rPr>
          <w:rFonts w:ascii="宋体" w:hAnsi="宋体" w:eastAsia="宋体"/>
          <w:sz w:val="24"/>
        </w:rPr>
        <w:t>表头在表格上方，包含表序和表名，表序与表名之间应留1 个同类字符的空隙，居中放置，与表格顶线无间隔，字体黑体加粗，字号比正文小一号。表序使用阿拉伯数字依序编排；</w:t>
      </w:r>
    </w:p>
    <w:p>
      <w:pPr>
        <w:pStyle w:val="20"/>
        <w:numPr>
          <w:ilvl w:val="1"/>
          <w:numId w:val="3"/>
        </w:numPr>
        <w:spacing w:line="400" w:lineRule="exact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sz w:val="24"/>
        </w:rPr>
        <w:t>内容：</w:t>
      </w:r>
      <w:r>
        <w:rPr>
          <w:rFonts w:ascii="宋体" w:hAnsi="宋体" w:eastAsia="宋体"/>
          <w:sz w:val="24"/>
        </w:rPr>
        <w:t>在表中除了具体内容是因文章而异，表内文字字体、字号、数字书写规范等</w:t>
      </w:r>
      <w:r>
        <w:rPr>
          <w:rFonts w:hint="eastAsia" w:ascii="宋体" w:hAnsi="宋体" w:eastAsia="宋体"/>
          <w:sz w:val="24"/>
        </w:rPr>
        <w:t>都应该统一</w:t>
      </w:r>
      <w:r>
        <w:rPr>
          <w:rFonts w:ascii="宋体" w:hAnsi="宋体" w:eastAsia="宋体"/>
          <w:sz w:val="24"/>
        </w:rPr>
        <w:t>。</w:t>
      </w:r>
    </w:p>
    <w:p>
      <w:pPr>
        <w:spacing w:line="40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（3）公式的格式规范要求</w:t>
      </w:r>
    </w:p>
    <w:p>
      <w:pPr>
        <w:pStyle w:val="20"/>
        <w:numPr>
          <w:ilvl w:val="1"/>
          <w:numId w:val="3"/>
        </w:numPr>
        <w:spacing w:line="400" w:lineRule="exact"/>
        <w:ind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公式统一空两格左对齐，公式采用Word自带公式编辑器输入，编号靠右侧，采用小四Times New Roman字体斜体。如第三章第一个公式：</w:t>
      </w:r>
    </w:p>
    <w:p>
      <w:pPr>
        <w:spacing w:line="360" w:lineRule="auto"/>
        <w:ind w:firstLine="540" w:firstLineChars="225"/>
        <w:jc w:val="center"/>
        <w:rPr>
          <w:sz w:val="24"/>
        </w:rPr>
      </w:pPr>
      <w:r>
        <w:rPr>
          <w:position w:val="-28"/>
          <w:sz w:val="24"/>
        </w:rPr>
        <w:object>
          <v:shape id="_x0000_i1025" o:spt="75" type="#_x0000_t75" style="height:33.6pt;width:198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sz w:val="24"/>
        </w:rPr>
        <w:t xml:space="preserve">                            3.1</w:t>
      </w:r>
    </w:p>
    <w:p>
      <w:pPr>
        <w:pStyle w:val="20"/>
        <w:tabs>
          <w:tab w:val="left" w:pos="3229"/>
        </w:tabs>
        <w:spacing w:line="400" w:lineRule="exact"/>
        <w:ind w:left="420" w:leftChars="200" w:firstLine="0" w:firstLineChars="0"/>
        <w:rPr>
          <w:rFonts w:ascii="宋体" w:hAnsi="宋体" w:eastAsia="宋体"/>
          <w:sz w:val="24"/>
        </w:rPr>
      </w:pPr>
    </w:p>
    <w:p>
      <w:pPr>
        <w:spacing w:line="400" w:lineRule="exac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【</w:t>
      </w:r>
      <w:r>
        <w:rPr>
          <w:rFonts w:hint="eastAsia" w:ascii="宋体" w:hAnsi="宋体" w:eastAsia="宋体"/>
          <w:b/>
          <w:sz w:val="24"/>
        </w:rPr>
        <w:t>引文注释</w:t>
      </w:r>
      <w:r>
        <w:rPr>
          <w:rFonts w:ascii="宋体" w:hAnsi="宋体" w:eastAsia="宋体"/>
          <w:b/>
          <w:sz w:val="24"/>
        </w:rPr>
        <w:t>】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注释是</w:t>
      </w:r>
      <w:r>
        <w:rPr>
          <w:rFonts w:hint="eastAsia" w:ascii="宋体" w:hAnsi="宋体" w:eastAsia="宋体"/>
          <w:sz w:val="24"/>
        </w:rPr>
        <w:t>对所创造的名词术语的解释或对文中引文出处的说明。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格式：采用“脚注”形式。具体项目和格式如下</w:t>
      </w:r>
      <w:r>
        <w:rPr>
          <w:rFonts w:ascii="宋体" w:hAnsi="宋体" w:eastAsia="宋体"/>
          <w:sz w:val="24"/>
        </w:rPr>
        <w:t>：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bookmarkStart w:id="0" w:name="_Hlk152575400"/>
      <w:r>
        <w:rPr>
          <w:rFonts w:hint="eastAsia" w:ascii="宋体" w:hAnsi="宋体"/>
          <w:color w:val="auto"/>
          <w:sz w:val="24"/>
          <w:szCs w:val="24"/>
        </w:rPr>
        <w:t>专著、论文集、学位论文和报告类：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[序号</w:t>
      </w:r>
      <w:r>
        <w:rPr>
          <w:rFonts w:ascii="宋体" w:hAnsi="宋体"/>
          <w:color w:val="auto"/>
          <w:sz w:val="24"/>
          <w:szCs w:val="24"/>
        </w:rPr>
        <w:t>]</w:t>
      </w:r>
      <w:r>
        <w:rPr>
          <w:rFonts w:hint="eastAsia" w:ascii="宋体" w:hAnsi="宋体"/>
          <w:color w:val="auto"/>
          <w:sz w:val="24"/>
          <w:szCs w:val="24"/>
        </w:rPr>
        <w:t>主要作者（多个作者间用逗号“、”隔开）：文献题名，出版地：出版者，出版年，起止页码。例：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 2" w:char="F06A"/>
      </w:r>
      <w:r>
        <w:rPr>
          <w:rFonts w:hint="eastAsia" w:ascii="宋体" w:hAnsi="宋体"/>
          <w:color w:val="auto"/>
          <w:sz w:val="24"/>
          <w:szCs w:val="24"/>
        </w:rPr>
        <w:t>周振莆：《周易译注》，北京：中华书局，1991年，第20-25页。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 2" w:char="F06B"/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John Dewey,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Democracy and Education: An Introduction to Philosophy of Education</w:t>
      </w:r>
      <w:r>
        <w:rPr>
          <w:rFonts w:ascii="Times New Roman" w:hAnsi="Times New Roman" w:cs="Times New Roman"/>
          <w:color w:val="auto"/>
          <w:sz w:val="24"/>
          <w:szCs w:val="24"/>
        </w:rPr>
        <w:t>, New York: Macmillan (1966 paperback edition), 1916, p.25.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译著：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[序号]主要作者（多个作者间用逗号“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ascii="宋体" w:hAnsi="宋体"/>
          <w:color w:val="auto"/>
          <w:sz w:val="24"/>
          <w:szCs w:val="24"/>
        </w:rPr>
        <w:t>”隔开）：文献题名，</w:t>
      </w:r>
      <w:r>
        <w:rPr>
          <w:rFonts w:hint="eastAsia" w:ascii="宋体" w:hAnsi="宋体"/>
          <w:color w:val="auto"/>
          <w:sz w:val="24"/>
          <w:szCs w:val="24"/>
        </w:rPr>
        <w:t>译者，</w:t>
      </w:r>
      <w:r>
        <w:rPr>
          <w:rFonts w:ascii="宋体" w:hAnsi="宋体"/>
          <w:color w:val="auto"/>
          <w:sz w:val="24"/>
          <w:szCs w:val="24"/>
        </w:rPr>
        <w:t>出版地：出版者，出版年，起止页码。例：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 2" w:char="F06C"/>
      </w:r>
      <w:r>
        <w:rPr>
          <w:rFonts w:hint="eastAsia" w:ascii="宋体" w:hAnsi="宋体"/>
          <w:color w:val="auto"/>
          <w:sz w:val="24"/>
          <w:szCs w:val="24"/>
        </w:rPr>
        <w:t>奥兰多·费吉斯：《娜塔莎之舞：俄罗斯文化史》，郭丹杰、曾小楚译，成都：四川人民出版社，2018年，第4页。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期刊文章：</w:t>
      </w:r>
    </w:p>
    <w:p>
      <w:pPr>
        <w:pStyle w:val="8"/>
        <w:spacing w:before="0" w:beforeAutospacing="0" w:after="0" w:afterAutospacing="0" w:line="400" w:lineRule="exact"/>
        <w:ind w:left="2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[序号</w:t>
      </w:r>
      <w:r>
        <w:rPr>
          <w:rFonts w:ascii="宋体" w:hAnsi="宋体"/>
          <w:color w:val="auto"/>
          <w:sz w:val="24"/>
          <w:szCs w:val="24"/>
        </w:rPr>
        <w:t>]</w:t>
      </w:r>
      <w:r>
        <w:rPr>
          <w:rFonts w:hint="eastAsia" w:ascii="宋体" w:hAnsi="宋体"/>
          <w:color w:val="auto"/>
          <w:sz w:val="24"/>
          <w:szCs w:val="24"/>
        </w:rPr>
        <w:t>主要作者（多个作者间用逗号“、”隔开）：文献题名，刊名，年卷（或期），起止页码。例：</w:t>
      </w:r>
    </w:p>
    <w:p>
      <w:pPr>
        <w:pStyle w:val="8"/>
        <w:spacing w:before="0" w:beforeAutospacing="0" w:after="0" w:afterAutospacing="0" w:line="400" w:lineRule="exact"/>
        <w:ind w:left="2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 2" w:char="F06D"/>
      </w:r>
      <w:r>
        <w:rPr>
          <w:rFonts w:hint="eastAsia" w:ascii="宋体" w:hAnsi="宋体"/>
          <w:color w:val="auto"/>
          <w:sz w:val="24"/>
          <w:szCs w:val="24"/>
        </w:rPr>
        <w:t>何龄修：《读顾城</w:t>
      </w:r>
      <w:r>
        <w:rPr>
          <w:rFonts w:ascii="宋体" w:hAnsi="宋体"/>
          <w:color w:val="auto"/>
          <w:sz w:val="24"/>
          <w:szCs w:val="24"/>
        </w:rPr>
        <w:t>&lt;</w:t>
      </w:r>
      <w:r>
        <w:rPr>
          <w:rFonts w:hint="eastAsia" w:ascii="宋体" w:hAnsi="宋体"/>
          <w:color w:val="auto"/>
          <w:sz w:val="24"/>
          <w:szCs w:val="24"/>
        </w:rPr>
        <w:t>南明史</w:t>
      </w:r>
      <w:r>
        <w:rPr>
          <w:rFonts w:ascii="宋体" w:hAnsi="宋体"/>
          <w:color w:val="auto"/>
          <w:sz w:val="24"/>
          <w:szCs w:val="24"/>
        </w:rPr>
        <w:t>&gt;</w:t>
      </w:r>
      <w:r>
        <w:rPr>
          <w:rFonts w:hint="eastAsia" w:ascii="宋体" w:hAnsi="宋体"/>
          <w:color w:val="auto"/>
          <w:sz w:val="24"/>
          <w:szCs w:val="24"/>
        </w:rPr>
        <w:t>》，《中国史研究》，</w:t>
      </w:r>
      <w:r>
        <w:rPr>
          <w:rFonts w:ascii="Times New Roman" w:hAnsi="Times New Roman" w:cs="Times New Roman"/>
          <w:color w:val="auto"/>
          <w:sz w:val="24"/>
          <w:szCs w:val="24"/>
        </w:rPr>
        <w:t>1998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年第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期，第</w:t>
      </w:r>
      <w:r>
        <w:rPr>
          <w:rFonts w:ascii="Times New Roman" w:hAnsi="Times New Roman" w:cs="Times New Roman"/>
          <w:color w:val="auto"/>
          <w:sz w:val="24"/>
          <w:szCs w:val="24"/>
        </w:rPr>
        <w:t>163-173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页。</w:t>
      </w:r>
    </w:p>
    <w:p>
      <w:pPr>
        <w:pStyle w:val="8"/>
        <w:spacing w:before="0" w:beforeAutospacing="0" w:after="0" w:afterAutospacing="0" w:line="400" w:lineRule="exact"/>
        <w:ind w:left="2" w:firstLine="418"/>
        <w:jc w:val="both"/>
        <w:rPr>
          <w:rFonts w:hint="eastAsia" w:ascii="Times New Roman" w:hAnsi="Times New Roman" w:cs="Times New Roman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sym w:font="Wingdings 2" w:char="F06E"/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S.Kanter, Z.Gamson &amp; H.London, “The Implementation of General Education: Some Early Findings,”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The Journal of General Education</w:t>
      </w:r>
      <w:r>
        <w:rPr>
          <w:rFonts w:ascii="Times New Roman" w:hAnsi="Times New Roman" w:cs="Times New Roman"/>
          <w:color w:val="auto"/>
          <w:sz w:val="24"/>
          <w:szCs w:val="24"/>
        </w:rPr>
        <w:t>, 1991(40), pp.119-127.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电子文献：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[序号]作者，题名，文献出处，发表或更新日期[引用日期]，获取和访问路径。 例：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 2" w:char="F06F"/>
      </w:r>
      <w:r>
        <w:rPr>
          <w:rFonts w:hint="eastAsia" w:ascii="宋体" w:hAnsi="宋体"/>
          <w:color w:val="auto"/>
          <w:sz w:val="24"/>
          <w:szCs w:val="24"/>
        </w:rPr>
        <w:t>傅刚，《大风沙过后的思考》，《北京青年报》，</w:t>
      </w:r>
      <w:r>
        <w:rPr>
          <w:rFonts w:ascii="Times New Roman" w:hAnsi="Times New Roman" w:cs="Times New Roman"/>
          <w:color w:val="auto"/>
          <w:sz w:val="24"/>
          <w:szCs w:val="24"/>
        </w:rPr>
        <w:t>2000-04-12[2002-03-06]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</w:rPr>
        <w:t>http://www.bjyouth.com.cn/Bqb/20000412/gb/4216%5ed0412b.htm.</w:t>
      </w:r>
    </w:p>
    <w:bookmarkEnd w:id="0"/>
    <w:p>
      <w:pPr>
        <w:spacing w:line="400" w:lineRule="exact"/>
        <w:rPr>
          <w:rFonts w:ascii="宋体" w:hAnsi="宋体" w:eastAsia="宋体"/>
          <w:b/>
          <w:sz w:val="24"/>
        </w:rPr>
      </w:pPr>
    </w:p>
    <w:p>
      <w:pPr>
        <w:spacing w:line="400" w:lineRule="exac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【</w:t>
      </w:r>
      <w:r>
        <w:rPr>
          <w:rFonts w:hint="eastAsia" w:ascii="宋体" w:hAnsi="宋体" w:eastAsia="宋体"/>
          <w:b/>
          <w:sz w:val="24"/>
        </w:rPr>
        <w:t>参考文献</w:t>
      </w:r>
      <w:r>
        <w:rPr>
          <w:rFonts w:ascii="宋体" w:hAnsi="宋体" w:eastAsia="宋体"/>
          <w:b/>
          <w:sz w:val="24"/>
        </w:rPr>
        <w:t xml:space="preserve">】 </w:t>
      </w:r>
    </w:p>
    <w:p>
      <w:pPr>
        <w:spacing w:line="400" w:lineRule="exact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格式：采用“尾注”形式，在正文结束后，罗列在后。</w:t>
      </w:r>
    </w:p>
    <w:p>
      <w:pPr>
        <w:spacing w:line="400" w:lineRule="exact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说明：如有必要列举论文涉及的其他文献，则可在文末列出参考文献。具体项目和格式如下</w:t>
      </w:r>
      <w:r>
        <w:rPr>
          <w:rFonts w:ascii="宋体" w:hAnsi="宋体" w:eastAsia="宋体"/>
          <w:sz w:val="24"/>
        </w:rPr>
        <w:t>：</w:t>
      </w:r>
    </w:p>
    <w:p>
      <w:pPr>
        <w:pStyle w:val="8"/>
        <w:tabs>
          <w:tab w:val="left" w:pos="780"/>
        </w:tabs>
        <w:spacing w:before="0" w:beforeAutospacing="0" w:after="0" w:afterAutospacing="0" w:line="400" w:lineRule="exact"/>
        <w:ind w:left="420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</w:t>
      </w:r>
      <w:r>
        <w:rPr>
          <w:rFonts w:ascii="宋体" w:hAnsi="宋体"/>
          <w:color w:val="auto"/>
          <w:sz w:val="24"/>
          <w:szCs w:val="24"/>
        </w:rPr>
        <w:t xml:space="preserve">. </w:t>
      </w:r>
      <w:r>
        <w:rPr>
          <w:rFonts w:hint="eastAsia" w:ascii="宋体" w:hAnsi="宋体"/>
          <w:color w:val="auto"/>
          <w:sz w:val="24"/>
          <w:szCs w:val="24"/>
        </w:rPr>
        <w:t>专著、论文集、学位论文和报告类：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[序号]主要作者（多个作者间用逗号“、”隔开）：文献题名，出版地：出版者，出版年，起止页码。例：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</w:t>
      </w:r>
      <w:r>
        <w:rPr>
          <w:rFonts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]周振莆：《周易译注》，北京：中华书局，1991年，第20-25页。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</w:t>
      </w:r>
      <w:r>
        <w:rPr>
          <w:rFonts w:ascii="宋体" w:hAnsi="宋体"/>
          <w:color w:val="auto"/>
          <w:sz w:val="24"/>
          <w:szCs w:val="24"/>
        </w:rPr>
        <w:t xml:space="preserve">2] </w:t>
      </w:r>
      <w:r>
        <w:rPr>
          <w:rFonts w:ascii="Times New Roman" w:hAnsi="Times New Roman" w:cs="Times New Roman"/>
          <w:color w:val="auto"/>
          <w:sz w:val="24"/>
          <w:szCs w:val="24"/>
        </w:rPr>
        <w:t>John Dewey,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Democracy and Education: An Introduction to Philosophy of Education</w:t>
      </w:r>
      <w:r>
        <w:rPr>
          <w:rFonts w:ascii="Times New Roman" w:hAnsi="Times New Roman" w:cs="Times New Roman"/>
          <w:color w:val="auto"/>
          <w:sz w:val="24"/>
          <w:szCs w:val="24"/>
        </w:rPr>
        <w:t>, New York: Macmillan (1966 paperback edition), 1916, p.25.</w:t>
      </w:r>
    </w:p>
    <w:p>
      <w:pPr>
        <w:pStyle w:val="8"/>
        <w:numPr>
          <w:ilvl w:val="0"/>
          <w:numId w:val="5"/>
        </w:numPr>
        <w:tabs>
          <w:tab w:val="left" w:pos="780"/>
        </w:tabs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译著：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[序号]主要作者（多个作者间用逗号“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ascii="宋体" w:hAnsi="宋体"/>
          <w:color w:val="auto"/>
          <w:sz w:val="24"/>
          <w:szCs w:val="24"/>
        </w:rPr>
        <w:t>”隔开）：文献题名，</w:t>
      </w:r>
      <w:r>
        <w:rPr>
          <w:rFonts w:hint="eastAsia" w:ascii="宋体" w:hAnsi="宋体"/>
          <w:color w:val="auto"/>
          <w:sz w:val="24"/>
          <w:szCs w:val="24"/>
        </w:rPr>
        <w:t>译者，</w:t>
      </w:r>
      <w:r>
        <w:rPr>
          <w:rFonts w:ascii="宋体" w:hAnsi="宋体"/>
          <w:color w:val="auto"/>
          <w:sz w:val="24"/>
          <w:szCs w:val="24"/>
        </w:rPr>
        <w:t>出版地：出版者，出版年，起止页码。例：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</w:t>
      </w:r>
      <w:r>
        <w:rPr>
          <w:rFonts w:ascii="宋体" w:hAnsi="宋体"/>
          <w:color w:val="auto"/>
          <w:sz w:val="24"/>
          <w:szCs w:val="24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]奥兰多·费吉斯：《娜塔莎之舞：俄罗斯文化史》，郭丹杰、曾小楚译，成都：四川人民出版社，2018年，第4页。</w:t>
      </w:r>
    </w:p>
    <w:p>
      <w:pPr>
        <w:pStyle w:val="8"/>
        <w:numPr>
          <w:ilvl w:val="0"/>
          <w:numId w:val="5"/>
        </w:numPr>
        <w:tabs>
          <w:tab w:val="left" w:pos="780"/>
        </w:tabs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期刊文章：</w:t>
      </w:r>
    </w:p>
    <w:p>
      <w:pPr>
        <w:pStyle w:val="8"/>
        <w:spacing w:before="0" w:beforeAutospacing="0" w:after="0" w:afterAutospacing="0" w:line="400" w:lineRule="exact"/>
        <w:ind w:left="2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[序号]主要作者（多个作者间用逗号“、”隔开）：文献题名，刊名，年卷（或期），起止页码。例：</w:t>
      </w:r>
    </w:p>
    <w:p>
      <w:pPr>
        <w:pStyle w:val="8"/>
        <w:spacing w:before="0" w:beforeAutospacing="0" w:after="0" w:afterAutospacing="0" w:line="400" w:lineRule="exact"/>
        <w:ind w:left="2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</w:t>
      </w: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]何龄修：《读顾城</w:t>
      </w:r>
      <w:r>
        <w:rPr>
          <w:rFonts w:ascii="宋体" w:hAnsi="宋体"/>
          <w:color w:val="auto"/>
          <w:sz w:val="24"/>
          <w:szCs w:val="24"/>
        </w:rPr>
        <w:t>&lt;</w:t>
      </w:r>
      <w:r>
        <w:rPr>
          <w:rFonts w:hint="eastAsia" w:ascii="宋体" w:hAnsi="宋体"/>
          <w:color w:val="auto"/>
          <w:sz w:val="24"/>
          <w:szCs w:val="24"/>
        </w:rPr>
        <w:t>南明史</w:t>
      </w:r>
      <w:r>
        <w:rPr>
          <w:rFonts w:ascii="宋体" w:hAnsi="宋体"/>
          <w:color w:val="auto"/>
          <w:sz w:val="24"/>
          <w:szCs w:val="24"/>
        </w:rPr>
        <w:t>&gt;</w:t>
      </w:r>
      <w:r>
        <w:rPr>
          <w:rFonts w:hint="eastAsia" w:ascii="宋体" w:hAnsi="宋体"/>
          <w:color w:val="auto"/>
          <w:sz w:val="24"/>
          <w:szCs w:val="24"/>
        </w:rPr>
        <w:t>》，《中国史研究》，</w:t>
      </w:r>
      <w:r>
        <w:rPr>
          <w:rFonts w:ascii="Times New Roman" w:hAnsi="Times New Roman" w:cs="Times New Roman"/>
          <w:color w:val="auto"/>
          <w:sz w:val="24"/>
          <w:szCs w:val="24"/>
        </w:rPr>
        <w:t>1998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年第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期，第</w:t>
      </w:r>
      <w:r>
        <w:rPr>
          <w:rFonts w:ascii="Times New Roman" w:hAnsi="Times New Roman" w:cs="Times New Roman"/>
          <w:color w:val="auto"/>
          <w:sz w:val="24"/>
          <w:szCs w:val="24"/>
        </w:rPr>
        <w:t>163-173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页。</w:t>
      </w:r>
    </w:p>
    <w:p>
      <w:pPr>
        <w:pStyle w:val="8"/>
        <w:spacing w:before="0" w:beforeAutospacing="0" w:after="0" w:afterAutospacing="0" w:line="400" w:lineRule="exact"/>
        <w:ind w:left="2" w:firstLine="418"/>
        <w:jc w:val="both"/>
        <w:rPr>
          <w:rFonts w:hint="eastAsia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</w:t>
      </w:r>
      <w:r>
        <w:rPr>
          <w:rFonts w:ascii="宋体" w:hAnsi="宋体"/>
          <w:color w:val="auto"/>
          <w:sz w:val="24"/>
          <w:szCs w:val="24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]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S.Kanter, Z.Gamson &amp; H.London, “The Implementation of General Education: Some Early Findings,”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The Journal of General Education</w:t>
      </w:r>
      <w:r>
        <w:rPr>
          <w:rFonts w:ascii="Times New Roman" w:hAnsi="Times New Roman" w:cs="Times New Roman"/>
          <w:color w:val="auto"/>
          <w:sz w:val="24"/>
          <w:szCs w:val="24"/>
        </w:rPr>
        <w:t>, 1991(40), pp.119-127.</w:t>
      </w:r>
    </w:p>
    <w:p>
      <w:pPr>
        <w:pStyle w:val="8"/>
        <w:numPr>
          <w:ilvl w:val="0"/>
          <w:numId w:val="5"/>
        </w:numPr>
        <w:tabs>
          <w:tab w:val="left" w:pos="780"/>
        </w:tabs>
        <w:spacing w:before="0" w:beforeAutospacing="0" w:after="0" w:afterAutospacing="0" w:line="400" w:lineRule="exact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电子文献：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[序号]作者，题名，文献出处，发表或更新日期[引用日期]，获取和访问路径。 例：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[</w:t>
      </w:r>
      <w:r>
        <w:rPr>
          <w:rFonts w:ascii="宋体" w:hAnsi="宋体"/>
          <w:color w:val="auto"/>
          <w:sz w:val="24"/>
          <w:szCs w:val="24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]傅刚，《大风沙过后的思考》，《北京青年报》，</w:t>
      </w:r>
      <w:r>
        <w:rPr>
          <w:rFonts w:ascii="Times New Roman" w:hAnsi="Times New Roman" w:cs="Times New Roman"/>
          <w:color w:val="auto"/>
          <w:sz w:val="24"/>
          <w:szCs w:val="24"/>
        </w:rPr>
        <w:t>2000-04-12[2002-03-06]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</w:rPr>
        <w:t>http://www.bjyouth.com.cn/Bqb/20000412/gb/4216%5ed0412b.htm.</w:t>
      </w:r>
    </w:p>
    <w:p>
      <w:pPr>
        <w:pStyle w:val="8"/>
        <w:spacing w:before="0" w:beforeAutospacing="0" w:after="0" w:afterAutospacing="0" w:line="400" w:lineRule="exact"/>
        <w:ind w:left="2" w:leftChars="1"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0"/>
        <w:spacing w:line="400" w:lineRule="exact"/>
        <w:ind w:left="840" w:firstLine="0" w:firstLineChars="0"/>
        <w:rPr>
          <w:rFonts w:ascii="宋体" w:hAnsi="宋体" w:eastAsia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055FD"/>
    <w:multiLevelType w:val="multilevel"/>
    <w:tmpl w:val="3E4055FD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569D0B56"/>
    <w:multiLevelType w:val="multilevel"/>
    <w:tmpl w:val="569D0B56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bullet"/>
      <w:lvlText w:val="·"/>
      <w:lvlJc w:val="left"/>
      <w:pPr>
        <w:ind w:left="1560" w:hanging="420"/>
      </w:pPr>
      <w:rPr>
        <w:rFonts w:hint="eastAsia" w:ascii="仿宋" w:hAnsi="仿宋" w:eastAsia="仿宋"/>
      </w:r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40F6630"/>
    <w:multiLevelType w:val="multilevel"/>
    <w:tmpl w:val="640F6630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-540"/>
        </w:tabs>
        <w:ind w:left="-5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120"/>
        </w:tabs>
        <w:ind w:left="-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300"/>
        </w:tabs>
        <w:ind w:left="3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720"/>
        </w:tabs>
        <w:ind w:left="7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11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560"/>
        </w:tabs>
        <w:ind w:left="15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1980"/>
        </w:tabs>
        <w:ind w:left="19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400"/>
        </w:tabs>
        <w:ind w:left="2400" w:hanging="420"/>
      </w:pPr>
    </w:lvl>
  </w:abstractNum>
  <w:abstractNum w:abstractNumId="3">
    <w:nsid w:val="6A296535"/>
    <w:multiLevelType w:val="multilevel"/>
    <w:tmpl w:val="6A296535"/>
    <w:lvl w:ilvl="0" w:tentative="0">
      <w:start w:val="1"/>
      <w:numFmt w:val="bullet"/>
      <w:lvlText w:val="·"/>
      <w:lvlJc w:val="left"/>
      <w:pPr>
        <w:ind w:left="1140" w:hanging="420"/>
      </w:pPr>
      <w:rPr>
        <w:rFonts w:hint="eastAsia" w:ascii="仿宋" w:hAnsi="仿宋" w:eastAsia="仿宋"/>
      </w:rPr>
    </w:lvl>
    <w:lvl w:ilvl="1" w:tentative="0">
      <w:start w:val="1"/>
      <w:numFmt w:val="bullet"/>
      <w:lvlText w:val="·"/>
      <w:lvlJc w:val="left"/>
      <w:pPr>
        <w:ind w:left="1560" w:hanging="420"/>
      </w:pPr>
      <w:rPr>
        <w:rFonts w:hint="eastAsia" w:ascii="仿宋" w:hAnsi="仿宋" w:eastAsia="仿宋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4">
    <w:nsid w:val="700426F3"/>
    <w:multiLevelType w:val="multilevel"/>
    <w:tmpl w:val="700426F3"/>
    <w:lvl w:ilvl="0" w:tentative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3MjUwYjBhOGIyZjQ0YTgzZTBmZjg0ZmI1NmY2OGYifQ=="/>
  </w:docVars>
  <w:rsids>
    <w:rsidRoot w:val="00225729"/>
    <w:rsid w:val="00011512"/>
    <w:rsid w:val="000258F2"/>
    <w:rsid w:val="0007370D"/>
    <w:rsid w:val="00097F27"/>
    <w:rsid w:val="00215364"/>
    <w:rsid w:val="00221ED9"/>
    <w:rsid w:val="00224C62"/>
    <w:rsid w:val="00225729"/>
    <w:rsid w:val="00313499"/>
    <w:rsid w:val="00345C95"/>
    <w:rsid w:val="003753AA"/>
    <w:rsid w:val="00376F03"/>
    <w:rsid w:val="003C42F5"/>
    <w:rsid w:val="003F0DF7"/>
    <w:rsid w:val="004116B8"/>
    <w:rsid w:val="00582696"/>
    <w:rsid w:val="005A0B6B"/>
    <w:rsid w:val="00614472"/>
    <w:rsid w:val="00617FB2"/>
    <w:rsid w:val="00685389"/>
    <w:rsid w:val="006A7060"/>
    <w:rsid w:val="006C23AE"/>
    <w:rsid w:val="006D7FD1"/>
    <w:rsid w:val="007536CD"/>
    <w:rsid w:val="00795282"/>
    <w:rsid w:val="007D0C05"/>
    <w:rsid w:val="007D79B3"/>
    <w:rsid w:val="007E7EA7"/>
    <w:rsid w:val="00823B1B"/>
    <w:rsid w:val="0085653F"/>
    <w:rsid w:val="00890A09"/>
    <w:rsid w:val="00903C8B"/>
    <w:rsid w:val="00A27F47"/>
    <w:rsid w:val="00AD1CBE"/>
    <w:rsid w:val="00B916DD"/>
    <w:rsid w:val="00BA543A"/>
    <w:rsid w:val="00BC5FA5"/>
    <w:rsid w:val="00BD6C7C"/>
    <w:rsid w:val="00C26A0F"/>
    <w:rsid w:val="00C71EC2"/>
    <w:rsid w:val="00DC294E"/>
    <w:rsid w:val="00DC42B4"/>
    <w:rsid w:val="00E04CD7"/>
    <w:rsid w:val="00E53321"/>
    <w:rsid w:val="00EB5BAF"/>
    <w:rsid w:val="00F12C4C"/>
    <w:rsid w:val="00F6714B"/>
    <w:rsid w:val="00F86F78"/>
    <w:rsid w:val="00FE3604"/>
    <w:rsid w:val="00FF72F7"/>
    <w:rsid w:val="3FDBE507"/>
    <w:rsid w:val="480A5744"/>
    <w:rsid w:val="EDFB6460"/>
    <w:rsid w:val="FE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uiPriority w:val="99"/>
    <w:pPr>
      <w:jc w:val="left"/>
    </w:pPr>
  </w:style>
  <w:style w:type="paragraph" w:styleId="3">
    <w:name w:val="Plain Text"/>
    <w:basedOn w:val="1"/>
    <w:link w:val="16"/>
    <w:semiHidden/>
    <w:unhideWhenUsed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4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ˎ̥" w:hAnsi="ˎ̥" w:eastAsia="宋体" w:cs="宋体"/>
      <w:color w:val="000000"/>
      <w:kern w:val="0"/>
      <w:sz w:val="18"/>
      <w:szCs w:val="18"/>
    </w:rPr>
  </w:style>
  <w:style w:type="paragraph" w:styleId="9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character" w:customStyle="1" w:styleId="15">
    <w:name w:val="纯文本 字符"/>
    <w:basedOn w:val="11"/>
    <w:semiHidden/>
    <w:uiPriority w:val="99"/>
    <w:rPr>
      <w:rFonts w:hAnsi="Courier New" w:cs="Courier New" w:asciiTheme="minorEastAsia"/>
      <w:szCs w:val="24"/>
    </w:rPr>
  </w:style>
  <w:style w:type="character" w:customStyle="1" w:styleId="16">
    <w:name w:val="纯文本 字符1"/>
    <w:link w:val="3"/>
    <w:semiHidden/>
    <w:locked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页眉 字符"/>
    <w:basedOn w:val="11"/>
    <w:link w:val="6"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4"/>
    <w:semiHidden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1"/>
    <w:link w:val="2"/>
    <w:semiHidden/>
    <w:uiPriority w:val="99"/>
    <w:rPr>
      <w:szCs w:val="24"/>
    </w:rPr>
  </w:style>
  <w:style w:type="character" w:customStyle="1" w:styleId="22">
    <w:name w:val="批注主题 字符"/>
    <w:basedOn w:val="21"/>
    <w:link w:val="9"/>
    <w:semiHidden/>
    <w:uiPriority w:val="99"/>
    <w:rPr>
      <w:b/>
      <w:bCs/>
      <w:szCs w:val="24"/>
    </w:rPr>
  </w:style>
  <w:style w:type="character" w:customStyle="1" w:styleId="23">
    <w:name w:val="index_white1"/>
    <w:basedOn w:val="11"/>
    <w:uiPriority w:val="0"/>
    <w:rPr>
      <w:color w:val="13639D"/>
      <w:sz w:val="18"/>
      <w:szCs w:val="18"/>
      <w:u w:val="none"/>
    </w:rPr>
  </w:style>
  <w:style w:type="character" w:customStyle="1" w:styleId="24">
    <w:name w:val="脚注文本 字符"/>
    <w:basedOn w:val="11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F0AD-2301-41F7-B352-47520F1F4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2265</Characters>
  <Lines>18</Lines>
  <Paragraphs>5</Paragraphs>
  <TotalTime>33</TotalTime>
  <ScaleCrop>false</ScaleCrop>
  <LinksUpToDate>false</LinksUpToDate>
  <CharactersWithSpaces>2657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2023-12-01T02:44:00Z</dcterms:created>
  <dc:creator>admin</dc:creator>
  <cp:lastModifiedBy>阿城</cp:lastModifiedBy>
  <cp:lastPrinted>2021-06-01T19:37:00Z</cp:lastPrinted>
  <dcterms:modified xsi:type="dcterms:W3CDTF">2023-12-05T06:20:48Z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465D5D28886F5BD62F585D65C39E5C46_42</vt:lpwstr>
  </property>
</Properties>
</file>